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D8E0F" w14:textId="613DD5E3" w:rsidR="00DF3BDD" w:rsidRPr="002D264C" w:rsidRDefault="0048702E" w:rsidP="00DF3BDD">
      <w:pPr>
        <w:pStyle w:val="3GPPHeader"/>
        <w:spacing w:after="60"/>
        <w:rPr>
          <w:sz w:val="32"/>
          <w:szCs w:val="32"/>
          <w:highlight w:val="yellow"/>
          <w:lang w:val="en-US"/>
        </w:rPr>
      </w:pPr>
      <w:bookmarkStart w:id="0" w:name="_GoBack"/>
      <w:r>
        <w:rPr>
          <w:lang w:val="en-US"/>
        </w:rPr>
        <w:t>3GPP TSG-RAN WG</w:t>
      </w:r>
      <w:r w:rsidR="00CC2E8D">
        <w:rPr>
          <w:lang w:val="en-US"/>
        </w:rPr>
        <w:t>1</w:t>
      </w:r>
      <w:r>
        <w:rPr>
          <w:lang w:val="en-US"/>
        </w:rPr>
        <w:t xml:space="preserve"> #</w:t>
      </w:r>
      <w:r w:rsidR="00505175">
        <w:rPr>
          <w:lang w:val="en-US"/>
        </w:rPr>
        <w:t>86</w:t>
      </w:r>
      <w:r w:rsidR="00DF3BDD" w:rsidRPr="002D264C">
        <w:rPr>
          <w:lang w:val="en-US"/>
        </w:rPr>
        <w:tab/>
      </w:r>
      <w:r w:rsidR="00CC2E8D" w:rsidRPr="00CC2E8D">
        <w:rPr>
          <w:szCs w:val="32"/>
          <w:lang w:val="en-US"/>
        </w:rPr>
        <w:t>R1-167431</w:t>
      </w:r>
    </w:p>
    <w:p w14:paraId="6B0FB368" w14:textId="0815829A" w:rsidR="00DF3BDD" w:rsidRPr="00573164" w:rsidRDefault="0072791D" w:rsidP="00DF3BDD">
      <w:pPr>
        <w:pStyle w:val="3GPPHeader"/>
        <w:rPr>
          <w:lang w:val="en-US"/>
        </w:rPr>
      </w:pPr>
      <w:r>
        <w:rPr>
          <w:rFonts w:cs="Arial"/>
          <w:color w:val="000000"/>
        </w:rPr>
        <w:t>Gothenburg</w:t>
      </w:r>
      <w:r w:rsidR="00573164">
        <w:rPr>
          <w:lang w:val="en-US"/>
        </w:rPr>
        <w:t xml:space="preserve">, </w:t>
      </w:r>
      <w:r>
        <w:rPr>
          <w:lang w:val="en-US"/>
        </w:rPr>
        <w:t>Sweden</w:t>
      </w:r>
      <w:r w:rsidR="00573164">
        <w:rPr>
          <w:lang w:val="en-US"/>
        </w:rPr>
        <w:t>, 22 – 26</w:t>
      </w:r>
      <w:r w:rsidR="00CA35E7" w:rsidRPr="00573164">
        <w:rPr>
          <w:lang w:val="en-US"/>
        </w:rPr>
        <w:t xml:space="preserve"> Aug</w:t>
      </w:r>
      <w:r w:rsidR="00DF3BDD" w:rsidRPr="00573164">
        <w:rPr>
          <w:lang w:val="en-US"/>
        </w:rPr>
        <w:t xml:space="preserve"> 2016</w:t>
      </w:r>
    </w:p>
    <w:p w14:paraId="54629471" w14:textId="77777777" w:rsidR="00DF3BDD" w:rsidRPr="00573164" w:rsidRDefault="00DF3BDD" w:rsidP="00DF3BDD">
      <w:pPr>
        <w:pStyle w:val="3GPPHeader"/>
        <w:rPr>
          <w:lang w:val="en-US"/>
        </w:rPr>
      </w:pPr>
    </w:p>
    <w:p w14:paraId="64E59009" w14:textId="1D26B729" w:rsidR="00DF3BDD" w:rsidRPr="00BE3E94" w:rsidRDefault="00DF3BDD" w:rsidP="00DF3BDD">
      <w:pPr>
        <w:pStyle w:val="3GPPHeader"/>
        <w:rPr>
          <w:sz w:val="22"/>
          <w:szCs w:val="22"/>
          <w:lang w:val="en-US"/>
        </w:rPr>
      </w:pPr>
      <w:r w:rsidRPr="00BE3E94">
        <w:rPr>
          <w:sz w:val="22"/>
          <w:szCs w:val="22"/>
          <w:lang w:val="en-US"/>
        </w:rPr>
        <w:t>Agenda Item:</w:t>
      </w:r>
      <w:r w:rsidRPr="00BE3E94">
        <w:rPr>
          <w:sz w:val="22"/>
          <w:szCs w:val="22"/>
          <w:lang w:val="en-US"/>
        </w:rPr>
        <w:tab/>
      </w:r>
    </w:p>
    <w:p w14:paraId="55D39311" w14:textId="77777777" w:rsidR="00DF3BDD" w:rsidRPr="002D264C" w:rsidRDefault="00DF3BDD" w:rsidP="00DF3BDD">
      <w:pPr>
        <w:pStyle w:val="3GPPHeader"/>
        <w:rPr>
          <w:sz w:val="22"/>
          <w:szCs w:val="22"/>
          <w:lang w:val="en-US"/>
        </w:rPr>
      </w:pPr>
      <w:r w:rsidRPr="002D264C">
        <w:rPr>
          <w:sz w:val="22"/>
          <w:szCs w:val="22"/>
          <w:lang w:val="en-US"/>
        </w:rPr>
        <w:t>Source:</w:t>
      </w:r>
      <w:r w:rsidRPr="002D264C">
        <w:rPr>
          <w:sz w:val="22"/>
          <w:szCs w:val="22"/>
          <w:lang w:val="en-US"/>
        </w:rPr>
        <w:tab/>
        <w:t>Ericsson</w:t>
      </w:r>
    </w:p>
    <w:p w14:paraId="30BDDF4C" w14:textId="48D408D0" w:rsidR="00DF3BDD" w:rsidRPr="002D264C" w:rsidRDefault="00527E38" w:rsidP="00DF3BDD">
      <w:pPr>
        <w:pStyle w:val="3GPPHeader"/>
        <w:rPr>
          <w:sz w:val="22"/>
          <w:szCs w:val="22"/>
          <w:lang w:val="en-US"/>
        </w:rPr>
      </w:pPr>
      <w:r>
        <w:rPr>
          <w:sz w:val="22"/>
          <w:szCs w:val="22"/>
          <w:lang w:val="en-US"/>
        </w:rPr>
        <w:t>Title:</w:t>
      </w:r>
      <w:r>
        <w:rPr>
          <w:sz w:val="22"/>
          <w:szCs w:val="22"/>
          <w:lang w:val="en-US"/>
        </w:rPr>
        <w:tab/>
      </w:r>
      <w:r w:rsidR="00CA28EC">
        <w:rPr>
          <w:sz w:val="22"/>
          <w:szCs w:val="22"/>
          <w:lang w:val="en-US"/>
        </w:rPr>
        <w:t>Random Access on</w:t>
      </w:r>
      <w:r w:rsidR="00DF3BDD" w:rsidRPr="002D264C">
        <w:rPr>
          <w:sz w:val="22"/>
          <w:szCs w:val="22"/>
          <w:lang w:val="en-US"/>
        </w:rPr>
        <w:t xml:space="preserve"> </w:t>
      </w:r>
      <w:r w:rsidR="00F024C3">
        <w:rPr>
          <w:sz w:val="22"/>
          <w:szCs w:val="22"/>
          <w:lang w:val="en-US"/>
        </w:rPr>
        <w:t>Non-A</w:t>
      </w:r>
      <w:r w:rsidR="00DF3BDD" w:rsidRPr="002D264C">
        <w:rPr>
          <w:sz w:val="22"/>
          <w:szCs w:val="22"/>
          <w:lang w:val="en-US"/>
        </w:rPr>
        <w:t>nchor Carrier</w:t>
      </w:r>
      <w:r w:rsidR="00CA28EC">
        <w:rPr>
          <w:sz w:val="22"/>
          <w:szCs w:val="22"/>
          <w:lang w:val="en-US"/>
        </w:rPr>
        <w:t>s</w:t>
      </w:r>
      <w:r w:rsidR="00EE6C8F">
        <w:rPr>
          <w:sz w:val="22"/>
          <w:szCs w:val="22"/>
          <w:lang w:val="en-US"/>
        </w:rPr>
        <w:t xml:space="preserve"> in NB-</w:t>
      </w:r>
      <w:proofErr w:type="spellStart"/>
      <w:r w:rsidR="00EE6C8F">
        <w:rPr>
          <w:sz w:val="22"/>
          <w:szCs w:val="22"/>
          <w:lang w:val="en-US"/>
        </w:rPr>
        <w:t>IoT</w:t>
      </w:r>
      <w:proofErr w:type="spellEnd"/>
    </w:p>
    <w:p w14:paraId="7F2C4491" w14:textId="77777777" w:rsidR="00DF3BDD" w:rsidRPr="002D264C" w:rsidRDefault="00DF3BDD" w:rsidP="00DF3BDD">
      <w:pPr>
        <w:pStyle w:val="3GPPHeader"/>
        <w:rPr>
          <w:sz w:val="22"/>
          <w:szCs w:val="22"/>
          <w:lang w:val="en-US"/>
        </w:rPr>
      </w:pPr>
      <w:r w:rsidRPr="002D264C">
        <w:rPr>
          <w:sz w:val="22"/>
          <w:szCs w:val="22"/>
          <w:lang w:val="en-US"/>
        </w:rPr>
        <w:t>Document for:</w:t>
      </w:r>
      <w:r w:rsidRPr="002D264C">
        <w:rPr>
          <w:sz w:val="22"/>
          <w:szCs w:val="22"/>
          <w:lang w:val="en-US"/>
        </w:rPr>
        <w:tab/>
      </w:r>
      <w:r w:rsidRPr="00527E38">
        <w:rPr>
          <w:sz w:val="22"/>
          <w:szCs w:val="22"/>
          <w:lang w:val="en-US"/>
        </w:rPr>
        <w:t>Discussion, Decision</w:t>
      </w:r>
    </w:p>
    <w:p w14:paraId="6115CE3A" w14:textId="77777777" w:rsidR="00DF3BDD" w:rsidRPr="002D264C" w:rsidRDefault="00DF3BDD" w:rsidP="00DF3BDD">
      <w:pPr>
        <w:rPr>
          <w:color w:val="0000FF"/>
          <w:lang w:val="en-US"/>
        </w:rPr>
      </w:pPr>
    </w:p>
    <w:p w14:paraId="1C9570DF" w14:textId="77777777" w:rsidR="00DF3BDD" w:rsidRPr="002D264C" w:rsidRDefault="00DF3BDD" w:rsidP="00DF3BDD">
      <w:pPr>
        <w:pStyle w:val="Heading1"/>
        <w:rPr>
          <w:lang w:val="en-US"/>
        </w:rPr>
      </w:pPr>
      <w:r w:rsidRPr="002D264C">
        <w:rPr>
          <w:lang w:val="en-US"/>
        </w:rPr>
        <w:t>Introduction</w:t>
      </w:r>
    </w:p>
    <w:p w14:paraId="748111B3" w14:textId="16194042" w:rsidR="00AD5C3C" w:rsidRDefault="00AD5C3C" w:rsidP="00AD5C3C">
      <w:pPr>
        <w:pStyle w:val="BodyText"/>
      </w:pPr>
      <w:bookmarkStart w:id="1" w:name="_Ref446581424"/>
      <w:r>
        <w:t>In the approved work item (WI) on Rel-14 enhancements for NB-</w:t>
      </w:r>
      <w:proofErr w:type="spellStart"/>
      <w:r>
        <w:t>IoT</w:t>
      </w:r>
      <w:proofErr w:type="spellEnd"/>
      <w:r>
        <w:t xml:space="preserve"> [1]</w:t>
      </w:r>
      <w:r w:rsidR="00E87D3F">
        <w:t xml:space="preserve"> o</w:t>
      </w:r>
      <w:r>
        <w:t>ne of the WI objectives is the following:</w:t>
      </w:r>
    </w:p>
    <w:p w14:paraId="1690EB7A" w14:textId="77777777" w:rsidR="00AD5C3C" w:rsidRPr="00A316F9" w:rsidRDefault="00AD5C3C" w:rsidP="00AD5C3C">
      <w:pPr>
        <w:pStyle w:val="ListParagraph"/>
        <w:ind w:left="0"/>
        <w:rPr>
          <w:rFonts w:ascii="Times New Roman" w:hAnsi="Times New Roman"/>
          <w:b/>
          <w:bCs/>
          <w:i/>
          <w:lang w:eastAsia="ja-JP"/>
        </w:rPr>
      </w:pPr>
      <w:r w:rsidRPr="00A316F9">
        <w:rPr>
          <w:rFonts w:ascii="Times New Roman" w:hAnsi="Times New Roman"/>
          <w:b/>
          <w:bCs/>
          <w:i/>
          <w:u w:val="single"/>
          <w:lang w:eastAsia="ja-JP"/>
        </w:rPr>
        <w:t>Non- Anchor PRB enhancements</w:t>
      </w:r>
    </w:p>
    <w:p w14:paraId="50A66D14" w14:textId="77777777" w:rsidR="00AD5C3C" w:rsidRPr="00A316F9" w:rsidRDefault="00AD5C3C" w:rsidP="00AD5C3C">
      <w:pPr>
        <w:pStyle w:val="ListParagraph"/>
        <w:ind w:left="0"/>
        <w:rPr>
          <w:rFonts w:ascii="Times New Roman" w:hAnsi="Times New Roman"/>
          <w:b/>
          <w:bCs/>
          <w:i/>
          <w:lang w:eastAsia="ja-JP"/>
        </w:rPr>
      </w:pPr>
    </w:p>
    <w:p w14:paraId="1BB3763A" w14:textId="77777777" w:rsidR="00AD5C3C" w:rsidRPr="00A316F9" w:rsidRDefault="00AD5C3C" w:rsidP="00AD5C3C">
      <w:pPr>
        <w:numPr>
          <w:ilvl w:val="0"/>
          <w:numId w:val="15"/>
        </w:numPr>
        <w:adjustRightInd/>
        <w:spacing w:after="0"/>
        <w:jc w:val="left"/>
        <w:textAlignment w:val="auto"/>
        <w:rPr>
          <w:i/>
          <w:lang w:val="en-US"/>
        </w:rPr>
      </w:pPr>
      <w:r w:rsidRPr="00A316F9">
        <w:rPr>
          <w:i/>
          <w:lang w:val="en-US"/>
        </w:rPr>
        <w:t>Support transmission of NPRACH on a non-anchor NB-</w:t>
      </w:r>
      <w:proofErr w:type="spellStart"/>
      <w:r w:rsidRPr="00A316F9">
        <w:rPr>
          <w:i/>
          <w:lang w:val="en-US"/>
        </w:rPr>
        <w:t>IoT</w:t>
      </w:r>
      <w:proofErr w:type="spellEnd"/>
      <w:r w:rsidRPr="00A316F9">
        <w:rPr>
          <w:i/>
          <w:lang w:val="en-US"/>
        </w:rPr>
        <w:t xml:space="preserve"> PRB [RAN</w:t>
      </w:r>
      <w:proofErr w:type="gramStart"/>
      <w:r w:rsidRPr="00A316F9">
        <w:rPr>
          <w:i/>
          <w:lang w:val="en-US"/>
        </w:rPr>
        <w:t>2,RAN</w:t>
      </w:r>
      <w:proofErr w:type="gramEnd"/>
      <w:r w:rsidRPr="00A316F9">
        <w:rPr>
          <w:i/>
          <w:lang w:val="en-US"/>
        </w:rPr>
        <w:t xml:space="preserve">4] </w:t>
      </w:r>
    </w:p>
    <w:p w14:paraId="4ECB605E" w14:textId="77777777" w:rsidR="00AD5C3C" w:rsidRPr="00A316F9" w:rsidRDefault="00AD5C3C" w:rsidP="00AD5C3C">
      <w:pPr>
        <w:numPr>
          <w:ilvl w:val="0"/>
          <w:numId w:val="15"/>
        </w:numPr>
        <w:adjustRightInd/>
        <w:spacing w:after="0"/>
        <w:jc w:val="left"/>
        <w:textAlignment w:val="auto"/>
        <w:rPr>
          <w:i/>
          <w:lang w:val="en-US"/>
        </w:rPr>
      </w:pPr>
      <w:r w:rsidRPr="00A316F9">
        <w:rPr>
          <w:i/>
          <w:lang w:val="en-US"/>
        </w:rPr>
        <w:t>Support transmission of paging on a non-anchor NB-</w:t>
      </w:r>
      <w:proofErr w:type="spellStart"/>
      <w:r w:rsidRPr="00A316F9">
        <w:rPr>
          <w:i/>
          <w:lang w:val="en-US"/>
        </w:rPr>
        <w:t>IoT</w:t>
      </w:r>
      <w:proofErr w:type="spellEnd"/>
      <w:r w:rsidRPr="00A316F9">
        <w:rPr>
          <w:i/>
          <w:lang w:val="en-US"/>
        </w:rPr>
        <w:t xml:space="preserve"> PRB [RAN2, RAN</w:t>
      </w:r>
      <w:proofErr w:type="gramStart"/>
      <w:r w:rsidRPr="00A316F9">
        <w:rPr>
          <w:i/>
          <w:lang w:val="en-US"/>
        </w:rPr>
        <w:t>1,RAN</w:t>
      </w:r>
      <w:proofErr w:type="gramEnd"/>
      <w:r w:rsidRPr="00A316F9">
        <w:rPr>
          <w:i/>
          <w:lang w:val="en-US"/>
        </w:rPr>
        <w:t>3]</w:t>
      </w:r>
    </w:p>
    <w:p w14:paraId="6B3CD30F" w14:textId="77777777" w:rsidR="00AD5C3C" w:rsidRPr="00A316F9" w:rsidRDefault="00AD5C3C" w:rsidP="00AD5C3C">
      <w:pPr>
        <w:pStyle w:val="BodyText"/>
        <w:rPr>
          <w:rFonts w:eastAsia="PMingLiU"/>
          <w:b/>
          <w:lang w:eastAsia="zh-TW"/>
        </w:rPr>
      </w:pPr>
      <w:r>
        <w:t xml:space="preserve"> </w:t>
      </w:r>
    </w:p>
    <w:p w14:paraId="1779C948" w14:textId="64350DE4" w:rsidR="00AD5C3C" w:rsidRDefault="00AD5C3C" w:rsidP="00AD5C3C">
      <w:pPr>
        <w:pStyle w:val="BodyText"/>
      </w:pPr>
      <w:r>
        <w:t xml:space="preserve">In this contribution, we briefly discuss the support for random access on non-anchor PRBs from RAN1 perspective. </w:t>
      </w:r>
    </w:p>
    <w:p w14:paraId="2357E358" w14:textId="77777777" w:rsidR="00DF3BDD" w:rsidRPr="002D264C" w:rsidRDefault="00DF3BDD" w:rsidP="00DF3BDD">
      <w:pPr>
        <w:pStyle w:val="Heading1"/>
        <w:rPr>
          <w:lang w:val="en-US"/>
        </w:rPr>
      </w:pPr>
      <w:r w:rsidRPr="002D264C">
        <w:rPr>
          <w:lang w:val="en-US"/>
        </w:rPr>
        <w:t>Discussion</w:t>
      </w:r>
      <w:bookmarkEnd w:id="1"/>
    </w:p>
    <w:p w14:paraId="7DB95D83" w14:textId="05B46AC0" w:rsidR="00DF3BDD" w:rsidRDefault="00277AB1" w:rsidP="00DF3BDD">
      <w:pPr>
        <w:pStyle w:val="Heading2"/>
        <w:rPr>
          <w:lang w:val="en-US"/>
        </w:rPr>
      </w:pPr>
      <w:r>
        <w:rPr>
          <w:lang w:val="en-US"/>
        </w:rPr>
        <w:t>Background</w:t>
      </w:r>
    </w:p>
    <w:p w14:paraId="7F8DCC38" w14:textId="04813161" w:rsidR="00277AB1" w:rsidRDefault="00277AB1" w:rsidP="00277AB1">
      <w:pPr>
        <w:pStyle w:val="BodyText"/>
        <w:rPr>
          <w:noProof/>
          <w:lang w:val="en-US"/>
        </w:rPr>
      </w:pPr>
      <w:r>
        <w:rPr>
          <w:lang w:val="en-US"/>
        </w:rPr>
        <w:t>For</w:t>
      </w:r>
      <w:r w:rsidRPr="002D264C">
        <w:rPr>
          <w:lang w:val="en-US"/>
        </w:rPr>
        <w:t xml:space="preserve"> </w:t>
      </w:r>
      <w:r>
        <w:rPr>
          <w:lang w:val="en-US"/>
        </w:rPr>
        <w:t>Rel-13 of</w:t>
      </w:r>
      <w:r w:rsidRPr="00F94ADB">
        <w:rPr>
          <w:noProof/>
          <w:lang w:val="en-US"/>
        </w:rPr>
        <w:t xml:space="preserve"> NB-IoT</w:t>
      </w:r>
      <w:r>
        <w:rPr>
          <w:noProof/>
          <w:lang w:val="en-US"/>
        </w:rPr>
        <w:t xml:space="preserve">, several limitations were put on multi-carrier functionality as per </w:t>
      </w:r>
      <w:r>
        <w:rPr>
          <w:noProof/>
          <w:lang w:val="en-US"/>
        </w:rPr>
        <w:fldChar w:fldCharType="begin"/>
      </w:r>
      <w:r>
        <w:rPr>
          <w:noProof/>
          <w:lang w:val="en-US"/>
        </w:rPr>
        <w:instrText xml:space="preserve"> REF _Ref455671521 \n \h </w:instrText>
      </w:r>
      <w:r>
        <w:rPr>
          <w:noProof/>
          <w:lang w:val="en-US"/>
        </w:rPr>
      </w:r>
      <w:r>
        <w:rPr>
          <w:noProof/>
          <w:lang w:val="en-US"/>
        </w:rPr>
        <w:fldChar w:fldCharType="separate"/>
      </w:r>
      <w:r w:rsidR="00184CA9">
        <w:rPr>
          <w:noProof/>
          <w:lang w:val="en-US"/>
        </w:rPr>
        <w:t>[2]</w:t>
      </w:r>
      <w:r>
        <w:rPr>
          <w:noProof/>
          <w:lang w:val="en-US"/>
        </w:rPr>
        <w:fldChar w:fldCharType="end"/>
      </w:r>
      <w:r>
        <w:rPr>
          <w:noProof/>
          <w:lang w:val="en-US"/>
        </w:rPr>
        <w:t xml:space="preserve"> due to limited amount of time available to finalize the specifications. With regards to the random access procedure, these limitations include:</w:t>
      </w:r>
    </w:p>
    <w:p w14:paraId="7DE06A10" w14:textId="77777777" w:rsidR="00277AB1" w:rsidRPr="003A198B" w:rsidRDefault="00277AB1" w:rsidP="00277AB1">
      <w:pPr>
        <w:pStyle w:val="ListBullet"/>
        <w:numPr>
          <w:ilvl w:val="0"/>
          <w:numId w:val="13"/>
        </w:numPr>
        <w:rPr>
          <w:i/>
          <w:noProof/>
          <w:lang w:val="en-US"/>
        </w:rPr>
      </w:pPr>
      <w:r w:rsidRPr="003A198B">
        <w:rPr>
          <w:i/>
          <w:noProof/>
          <w:lang w:val="en-US"/>
        </w:rPr>
        <w:t>The RA procedure is performed on an anchor PRB.</w:t>
      </w:r>
    </w:p>
    <w:p w14:paraId="2551F368" w14:textId="77777777" w:rsidR="00277AB1" w:rsidRPr="003A198B" w:rsidRDefault="00277AB1" w:rsidP="00277AB1">
      <w:pPr>
        <w:pStyle w:val="ListBullet"/>
        <w:numPr>
          <w:ilvl w:val="0"/>
          <w:numId w:val="13"/>
        </w:numPr>
        <w:rPr>
          <w:noProof/>
          <w:lang w:val="en-US"/>
        </w:rPr>
      </w:pPr>
      <w:r w:rsidRPr="003A198B">
        <w:rPr>
          <w:i/>
          <w:noProof/>
          <w:lang w:val="en-US"/>
        </w:rPr>
        <w:t>If the UE needs to perform a RA procedure while on the non-anchor carrier (e.g. due to SR or PDCCH order) it goes back to the anchor carrier and stays there throughout RRC_CONNECTED or until re-assigned to another PRB.</w:t>
      </w:r>
    </w:p>
    <w:p w14:paraId="53F39F8B" w14:textId="77777777" w:rsidR="00277AB1" w:rsidRPr="003A198B" w:rsidRDefault="00277AB1" w:rsidP="00277AB1">
      <w:pPr>
        <w:pStyle w:val="ListBullet"/>
        <w:rPr>
          <w:noProof/>
          <w:lang w:val="en-US"/>
        </w:rPr>
      </w:pPr>
      <w:r w:rsidRPr="003A198B">
        <w:rPr>
          <w:noProof/>
          <w:lang w:val="en-US"/>
        </w:rPr>
        <w:t>We may consider the mechanism to go back to the non-anchor PRB after the RA procedure.</w:t>
      </w:r>
    </w:p>
    <w:p w14:paraId="443C6B44" w14:textId="76C877B6" w:rsidR="00277AB1" w:rsidRDefault="00277AB1" w:rsidP="00277AB1">
      <w:pPr>
        <w:pStyle w:val="BodyText"/>
        <w:rPr>
          <w:rFonts w:eastAsia="PMingLiU"/>
          <w:noProof/>
          <w:lang w:eastAsia="zh-TW"/>
        </w:rPr>
      </w:pPr>
      <w:r>
        <w:rPr>
          <w:rFonts w:eastAsia="PMingLiU"/>
          <w:noProof/>
          <w:lang w:eastAsia="zh-TW"/>
        </w:rPr>
        <w:t xml:space="preserve">Further, at RAN2#94 it was agreed as per </w:t>
      </w:r>
      <w:r>
        <w:rPr>
          <w:rFonts w:eastAsia="PMingLiU"/>
          <w:noProof/>
          <w:lang w:eastAsia="zh-TW"/>
        </w:rPr>
        <w:fldChar w:fldCharType="begin"/>
      </w:r>
      <w:r>
        <w:rPr>
          <w:rFonts w:eastAsia="PMingLiU"/>
          <w:noProof/>
          <w:lang w:eastAsia="zh-TW"/>
        </w:rPr>
        <w:instrText xml:space="preserve"> REF _Ref455673768 \n \h </w:instrText>
      </w:r>
      <w:r>
        <w:rPr>
          <w:rFonts w:eastAsia="PMingLiU"/>
          <w:noProof/>
          <w:lang w:eastAsia="zh-TW"/>
        </w:rPr>
      </w:r>
      <w:r>
        <w:rPr>
          <w:rFonts w:eastAsia="PMingLiU"/>
          <w:noProof/>
          <w:lang w:eastAsia="zh-TW"/>
        </w:rPr>
        <w:fldChar w:fldCharType="separate"/>
      </w:r>
      <w:r w:rsidR="00184CA9">
        <w:rPr>
          <w:rFonts w:eastAsia="PMingLiU"/>
          <w:noProof/>
          <w:lang w:eastAsia="zh-TW"/>
        </w:rPr>
        <w:t>[3]</w:t>
      </w:r>
      <w:r>
        <w:rPr>
          <w:rFonts w:eastAsia="PMingLiU"/>
          <w:noProof/>
          <w:lang w:eastAsia="zh-TW"/>
        </w:rPr>
        <w:fldChar w:fldCharType="end"/>
      </w:r>
      <w:r>
        <w:rPr>
          <w:rFonts w:eastAsia="PMingLiU"/>
          <w:noProof/>
          <w:lang w:eastAsia="zh-TW"/>
        </w:rPr>
        <w:t xml:space="preserve"> that:</w:t>
      </w:r>
    </w:p>
    <w:p w14:paraId="5CEBEC63" w14:textId="77777777" w:rsidR="00277AB1" w:rsidRPr="00BA07DB" w:rsidRDefault="00277AB1" w:rsidP="00277AB1">
      <w:pPr>
        <w:pStyle w:val="BodyText"/>
        <w:numPr>
          <w:ilvl w:val="0"/>
          <w:numId w:val="14"/>
        </w:numPr>
        <w:rPr>
          <w:i/>
          <w:noProof/>
          <w:lang w:val="en-US"/>
        </w:rPr>
      </w:pPr>
      <w:r w:rsidRPr="00BA07DB">
        <w:rPr>
          <w:rFonts w:eastAsia="PMingLiU"/>
          <w:i/>
          <w:noProof/>
          <w:lang w:eastAsia="zh-TW"/>
        </w:rPr>
        <w:t>After RACH, when the UE was served on a non-anchor carrier, the UE will go back to the non-achor carrier where it was previously served.</w:t>
      </w:r>
    </w:p>
    <w:p w14:paraId="3064F256" w14:textId="7FC673E0" w:rsidR="00A52870" w:rsidRDefault="00A52870" w:rsidP="00A52870">
      <w:pPr>
        <w:rPr>
          <w:lang w:val="en-US"/>
        </w:rPr>
      </w:pPr>
      <w:r>
        <w:rPr>
          <w:lang w:val="en-US"/>
        </w:rPr>
        <w:t>Considering the massive amount of devices that an NB-</w:t>
      </w:r>
      <w:proofErr w:type="spellStart"/>
      <w:r>
        <w:rPr>
          <w:lang w:val="en-US"/>
        </w:rPr>
        <w:t>IoT</w:t>
      </w:r>
      <w:proofErr w:type="spellEnd"/>
      <w:r>
        <w:rPr>
          <w:lang w:val="en-US"/>
        </w:rPr>
        <w:t xml:space="preserve"> cell is supposed to serve, it can be understood that limiting the random access procedure to only the anchor carrier might easily lead to a bottleneck scenario when UEs try to access the network. Such bottleneck is unnecessary in a multi-carrier deployment considering that there actually are resources available in terms of non-anchor carriers that could offload the access related traffic and as pointed out in </w:t>
      </w:r>
      <w:r w:rsidR="00E870E0">
        <w:rPr>
          <w:lang w:val="en-US"/>
        </w:rPr>
        <w:t xml:space="preserve">the </w:t>
      </w:r>
      <w:r>
        <w:rPr>
          <w:lang w:val="en-US"/>
        </w:rPr>
        <w:t>WID for NB-</w:t>
      </w:r>
      <w:proofErr w:type="spellStart"/>
      <w:r>
        <w:rPr>
          <w:lang w:val="en-US"/>
        </w:rPr>
        <w:t>IoT</w:t>
      </w:r>
      <w:proofErr w:type="spellEnd"/>
      <w:r>
        <w:rPr>
          <w:lang w:val="en-US"/>
        </w:rPr>
        <w:t xml:space="preserve"> enhancements</w:t>
      </w:r>
      <w:r w:rsidRPr="00F94ADB">
        <w:rPr>
          <w:lang w:val="en-US"/>
        </w:rPr>
        <w:t xml:space="preserve"> </w:t>
      </w:r>
      <w:r>
        <w:rPr>
          <w:lang w:val="en-US"/>
        </w:rPr>
        <w:fldChar w:fldCharType="begin"/>
      </w:r>
      <w:r>
        <w:rPr>
          <w:lang w:val="en-US"/>
        </w:rPr>
        <w:instrText xml:space="preserve"> REF _Ref455671457 \n \h </w:instrText>
      </w:r>
      <w:r>
        <w:rPr>
          <w:lang w:val="en-US"/>
        </w:rPr>
      </w:r>
      <w:r>
        <w:rPr>
          <w:lang w:val="en-US"/>
        </w:rPr>
        <w:fldChar w:fldCharType="separate"/>
      </w:r>
      <w:r w:rsidR="00184CA9">
        <w:rPr>
          <w:lang w:val="en-US"/>
        </w:rPr>
        <w:t>[1]</w:t>
      </w:r>
      <w:r>
        <w:rPr>
          <w:lang w:val="en-US"/>
        </w:rPr>
        <w:fldChar w:fldCharType="end"/>
      </w:r>
      <w:r>
        <w:rPr>
          <w:lang w:val="en-US"/>
        </w:rPr>
        <w:t xml:space="preserve"> it should be possible to:</w:t>
      </w:r>
    </w:p>
    <w:p w14:paraId="2BB18969" w14:textId="77777777" w:rsidR="00A52870" w:rsidRPr="00DD3B3B" w:rsidRDefault="00A52870" w:rsidP="00A52870">
      <w:pPr>
        <w:numPr>
          <w:ilvl w:val="0"/>
          <w:numId w:val="15"/>
        </w:numPr>
        <w:adjustRightInd/>
        <w:spacing w:after="0"/>
        <w:jc w:val="left"/>
        <w:textAlignment w:val="auto"/>
        <w:rPr>
          <w:i/>
          <w:lang w:val="en-US"/>
        </w:rPr>
      </w:pPr>
      <w:r w:rsidRPr="00DD3B3B">
        <w:rPr>
          <w:i/>
          <w:lang w:val="en-US"/>
        </w:rPr>
        <w:t>Support transmission of NPRACH on a non-anchor NB-</w:t>
      </w:r>
      <w:proofErr w:type="spellStart"/>
      <w:r w:rsidRPr="00DD3B3B">
        <w:rPr>
          <w:i/>
          <w:lang w:val="en-US"/>
        </w:rPr>
        <w:t>IoT</w:t>
      </w:r>
      <w:proofErr w:type="spellEnd"/>
      <w:r w:rsidRPr="00DD3B3B">
        <w:rPr>
          <w:i/>
          <w:lang w:val="en-US"/>
        </w:rPr>
        <w:t xml:space="preserve"> PRB [RAN</w:t>
      </w:r>
      <w:proofErr w:type="gramStart"/>
      <w:r w:rsidRPr="00DD3B3B">
        <w:rPr>
          <w:i/>
          <w:lang w:val="en-US"/>
        </w:rPr>
        <w:t>2,RAN</w:t>
      </w:r>
      <w:proofErr w:type="gramEnd"/>
      <w:r w:rsidRPr="00DD3B3B">
        <w:rPr>
          <w:i/>
          <w:lang w:val="en-US"/>
        </w:rPr>
        <w:t xml:space="preserve">4] </w:t>
      </w:r>
    </w:p>
    <w:p w14:paraId="54F15583" w14:textId="77777777" w:rsidR="00A52870" w:rsidRDefault="00A52870" w:rsidP="00A52870">
      <w:pPr>
        <w:rPr>
          <w:lang w:val="en-US"/>
        </w:rPr>
      </w:pPr>
    </w:p>
    <w:p w14:paraId="1DD0BE76" w14:textId="77777777" w:rsidR="00A52870" w:rsidRPr="002D264C" w:rsidRDefault="00A52870" w:rsidP="00A52870">
      <w:pPr>
        <w:pStyle w:val="B1"/>
        <w:ind w:left="0" w:firstLine="0"/>
        <w:jc w:val="both"/>
        <w:rPr>
          <w:lang w:val="en-US" w:eastAsia="zh-CN"/>
        </w:rPr>
      </w:pPr>
      <w:r w:rsidRPr="002D264C">
        <w:rPr>
          <w:lang w:val="en-US" w:eastAsia="zh-CN"/>
        </w:rPr>
        <w:t>In this contribution</w:t>
      </w:r>
      <w:r>
        <w:rPr>
          <w:lang w:val="en-US" w:eastAsia="zh-CN"/>
        </w:rPr>
        <w:t>, the random access procedure in relation to multi-carrier operation is further discussed.</w:t>
      </w:r>
    </w:p>
    <w:p w14:paraId="50606C6F" w14:textId="77777777" w:rsidR="00277AB1" w:rsidRDefault="00277AB1" w:rsidP="00277AB1">
      <w:pPr>
        <w:pStyle w:val="Heading2"/>
        <w:rPr>
          <w:lang w:val="en-US"/>
        </w:rPr>
      </w:pPr>
      <w:r>
        <w:rPr>
          <w:lang w:val="en-US"/>
        </w:rPr>
        <w:lastRenderedPageBreak/>
        <w:t>NB-</w:t>
      </w:r>
      <w:proofErr w:type="spellStart"/>
      <w:r>
        <w:rPr>
          <w:lang w:val="en-US"/>
        </w:rPr>
        <w:t>IoT</w:t>
      </w:r>
      <w:proofErr w:type="spellEnd"/>
      <w:r>
        <w:rPr>
          <w:lang w:val="en-US"/>
        </w:rPr>
        <w:t xml:space="preserve"> non-anchor carrier random access details</w:t>
      </w:r>
    </w:p>
    <w:p w14:paraId="12CA71B8" w14:textId="1A3DA8FA" w:rsidR="00F14485" w:rsidRPr="00B3177D" w:rsidRDefault="0006238B" w:rsidP="004A01DF">
      <w:pPr>
        <w:rPr>
          <w:rFonts w:ascii="Times New Roman" w:hAnsi="Times New Roman"/>
          <w:i/>
          <w:lang w:val="en-US"/>
        </w:rPr>
      </w:pPr>
      <w:bookmarkStart w:id="2" w:name="_Ref190406817"/>
      <w:bookmarkStart w:id="3" w:name="_Toc226862296"/>
      <w:bookmarkStart w:id="4" w:name="_Toc347823621"/>
      <w:bookmarkStart w:id="5" w:name="_Toc347824073"/>
      <w:bookmarkStart w:id="6" w:name="_Toc347824246"/>
      <w:r>
        <w:rPr>
          <w:lang w:val="en-US"/>
        </w:rPr>
        <w:t>There are various factors</w:t>
      </w:r>
      <w:r w:rsidR="00940E69">
        <w:rPr>
          <w:lang w:val="en-US"/>
        </w:rPr>
        <w:t xml:space="preserve"> that impact </w:t>
      </w:r>
      <w:r w:rsidR="00E870E0">
        <w:rPr>
          <w:lang w:val="en-US"/>
        </w:rPr>
        <w:t xml:space="preserve">the </w:t>
      </w:r>
      <w:r w:rsidR="00940E69">
        <w:rPr>
          <w:lang w:val="en-US"/>
        </w:rPr>
        <w:t>need for RA load distribution</w:t>
      </w:r>
      <w:r>
        <w:rPr>
          <w:lang w:val="en-US"/>
        </w:rPr>
        <w:t xml:space="preserve">, one of them being the amount of UEs competing for the very same NPRACH resources in a cell. As a result of </w:t>
      </w:r>
      <w:r w:rsidR="00E870E0">
        <w:rPr>
          <w:lang w:val="en-US"/>
        </w:rPr>
        <w:t xml:space="preserve">the </w:t>
      </w:r>
      <w:r>
        <w:rPr>
          <w:lang w:val="en-US"/>
        </w:rPr>
        <w:t>outcome of the Rel-13 specifications, it shall be noted that all Rel-13 UEs in a cell will carry out their RA procedure on the anchor carrier.</w:t>
      </w:r>
    </w:p>
    <w:p w14:paraId="4D1D0A8C" w14:textId="632670D3" w:rsidR="00813E8E" w:rsidRPr="00B3177D" w:rsidRDefault="00665DEC" w:rsidP="00813E8E">
      <w:pPr>
        <w:pStyle w:val="Observation"/>
        <w:rPr>
          <w:rFonts w:ascii="Times New Roman" w:hAnsi="Times New Roman"/>
          <w:i/>
          <w:lang w:val="en-US" w:eastAsia="sv-SE"/>
        </w:rPr>
      </w:pPr>
      <w:bookmarkStart w:id="7" w:name="_Toc455735865"/>
      <w:bookmarkStart w:id="8" w:name="_Toc455736313"/>
      <w:bookmarkStart w:id="9" w:name="_Toc456189537"/>
      <w:bookmarkStart w:id="10" w:name="_Toc458443675"/>
      <w:bookmarkStart w:id="11" w:name="_Toc458454809"/>
      <w:bookmarkStart w:id="12" w:name="_Toc458467273"/>
      <w:bookmarkStart w:id="13" w:name="_Toc458601807"/>
      <w:r w:rsidRPr="00B3177D">
        <w:rPr>
          <w:rFonts w:ascii="Times New Roman" w:hAnsi="Times New Roman"/>
          <w:i/>
          <w:lang w:val="en-US"/>
        </w:rPr>
        <w:t>All</w:t>
      </w:r>
      <w:r w:rsidR="00AC4862" w:rsidRPr="00B3177D">
        <w:rPr>
          <w:rFonts w:ascii="Times New Roman" w:hAnsi="Times New Roman"/>
          <w:i/>
          <w:lang w:val="en-US"/>
        </w:rPr>
        <w:t xml:space="preserve"> </w:t>
      </w:r>
      <w:r w:rsidR="0096797F" w:rsidRPr="00B3177D">
        <w:rPr>
          <w:rFonts w:ascii="Times New Roman" w:hAnsi="Times New Roman"/>
          <w:i/>
          <w:lang w:val="en-US"/>
        </w:rPr>
        <w:t>NB-</w:t>
      </w:r>
      <w:proofErr w:type="spellStart"/>
      <w:r w:rsidR="0096797F" w:rsidRPr="00B3177D">
        <w:rPr>
          <w:rFonts w:ascii="Times New Roman" w:hAnsi="Times New Roman"/>
          <w:i/>
          <w:lang w:val="en-US"/>
        </w:rPr>
        <w:t>IoT</w:t>
      </w:r>
      <w:proofErr w:type="spellEnd"/>
      <w:r w:rsidR="0096797F" w:rsidRPr="00B3177D">
        <w:rPr>
          <w:rFonts w:ascii="Times New Roman" w:hAnsi="Times New Roman"/>
          <w:i/>
          <w:lang w:val="en-US"/>
        </w:rPr>
        <w:t xml:space="preserve"> </w:t>
      </w:r>
      <w:r w:rsidR="00AC4862" w:rsidRPr="00B3177D">
        <w:rPr>
          <w:rFonts w:ascii="Times New Roman" w:hAnsi="Times New Roman"/>
          <w:i/>
          <w:lang w:val="en-US"/>
        </w:rPr>
        <w:t>Rel-13 UEs in a cell will carry out their RA procedure on the anchor carrier</w:t>
      </w:r>
      <w:bookmarkEnd w:id="7"/>
      <w:r w:rsidR="0096797F" w:rsidRPr="00B3177D">
        <w:rPr>
          <w:rFonts w:ascii="Times New Roman" w:hAnsi="Times New Roman"/>
          <w:i/>
          <w:lang w:val="en-US"/>
        </w:rPr>
        <w:t>.</w:t>
      </w:r>
      <w:bookmarkEnd w:id="8"/>
      <w:bookmarkEnd w:id="9"/>
      <w:bookmarkEnd w:id="10"/>
      <w:bookmarkEnd w:id="11"/>
      <w:bookmarkEnd w:id="12"/>
      <w:bookmarkEnd w:id="13"/>
    </w:p>
    <w:p w14:paraId="3C2AD92E" w14:textId="2B040590" w:rsidR="00862AE1" w:rsidRDefault="001D04B4" w:rsidP="00862AE1">
      <w:pPr>
        <w:rPr>
          <w:lang w:val="en-US"/>
        </w:rPr>
      </w:pPr>
      <w:r>
        <w:rPr>
          <w:lang w:val="en-US"/>
        </w:rPr>
        <w:t xml:space="preserve">Since </w:t>
      </w:r>
      <w:r w:rsidR="00BB56E7">
        <w:rPr>
          <w:lang w:val="en-US"/>
        </w:rPr>
        <w:t xml:space="preserve">in some scenarios </w:t>
      </w:r>
      <w:r>
        <w:rPr>
          <w:lang w:val="en-US"/>
        </w:rPr>
        <w:t xml:space="preserve">there might only be a limited amount of Rel-13 UEs in a specific cell, we should allow Rel-14 UEs </w:t>
      </w:r>
      <w:r w:rsidR="00B149EF">
        <w:rPr>
          <w:lang w:val="en-US"/>
        </w:rPr>
        <w:t xml:space="preserve">to </w:t>
      </w:r>
      <w:r>
        <w:rPr>
          <w:lang w:val="en-US"/>
        </w:rPr>
        <w:t>perform</w:t>
      </w:r>
      <w:r w:rsidR="00D82EC1">
        <w:rPr>
          <w:lang w:val="en-US"/>
        </w:rPr>
        <w:t xml:space="preserve"> the</w:t>
      </w:r>
      <w:r w:rsidR="00B149EF">
        <w:rPr>
          <w:lang w:val="en-US"/>
        </w:rPr>
        <w:t xml:space="preserve"> RA </w:t>
      </w:r>
      <w:r w:rsidR="00D82EC1">
        <w:rPr>
          <w:lang w:val="en-US"/>
        </w:rPr>
        <w:t xml:space="preserve">procedure </w:t>
      </w:r>
      <w:r w:rsidR="00B149EF">
        <w:rPr>
          <w:lang w:val="en-US"/>
        </w:rPr>
        <w:t xml:space="preserve">both on </w:t>
      </w:r>
      <w:r w:rsidR="00D82EC1">
        <w:rPr>
          <w:lang w:val="en-US"/>
        </w:rPr>
        <w:t xml:space="preserve">the </w:t>
      </w:r>
      <w:r w:rsidR="00B149EF">
        <w:rPr>
          <w:lang w:val="en-US"/>
        </w:rPr>
        <w:t>anc</w:t>
      </w:r>
      <w:r w:rsidR="00862AE1">
        <w:rPr>
          <w:lang w:val="en-US"/>
        </w:rPr>
        <w:t xml:space="preserve">hor and on non-anchor carriers. </w:t>
      </w:r>
      <w:r w:rsidR="00D82EC1">
        <w:rPr>
          <w:lang w:val="en-US"/>
        </w:rPr>
        <w:t>F</w:t>
      </w:r>
      <w:r w:rsidR="0001470F">
        <w:rPr>
          <w:lang w:val="en-US"/>
        </w:rPr>
        <w:t>or the sake of efficient utilization of</w:t>
      </w:r>
      <w:r w:rsidR="00862AE1">
        <w:rPr>
          <w:lang w:val="en-US"/>
        </w:rPr>
        <w:t xml:space="preserve"> the system resourc</w:t>
      </w:r>
      <w:r w:rsidR="00271D0E">
        <w:rPr>
          <w:lang w:val="en-US"/>
        </w:rPr>
        <w:t xml:space="preserve">es, the term RA </w:t>
      </w:r>
      <w:r w:rsidR="00D82EC1">
        <w:rPr>
          <w:lang w:val="en-US"/>
        </w:rPr>
        <w:t xml:space="preserve">should </w:t>
      </w:r>
      <w:r w:rsidR="00271D0E">
        <w:rPr>
          <w:lang w:val="en-US"/>
        </w:rPr>
        <w:t>not only relate</w:t>
      </w:r>
      <w:r w:rsidR="00862AE1">
        <w:rPr>
          <w:lang w:val="en-US"/>
        </w:rPr>
        <w:t xml:space="preserve"> to the NPRACH resource selection but also </w:t>
      </w:r>
      <w:r w:rsidR="00D82EC1">
        <w:rPr>
          <w:lang w:val="en-US"/>
        </w:rPr>
        <w:t>Msg2-Msg4</w:t>
      </w:r>
      <w:r w:rsidR="00862AE1">
        <w:rPr>
          <w:lang w:val="en-US"/>
        </w:rPr>
        <w:t xml:space="preserve"> </w:t>
      </w:r>
      <w:r w:rsidR="00D82EC1">
        <w:rPr>
          <w:lang w:val="en-US"/>
        </w:rPr>
        <w:t xml:space="preserve">of </w:t>
      </w:r>
      <w:r w:rsidR="00862AE1">
        <w:rPr>
          <w:lang w:val="en-US"/>
        </w:rPr>
        <w:t xml:space="preserve">the RA procedure. </w:t>
      </w:r>
    </w:p>
    <w:p w14:paraId="03116F66" w14:textId="77777777" w:rsidR="0001470F" w:rsidRPr="00B3177D" w:rsidRDefault="0001470F" w:rsidP="00862AE1">
      <w:pPr>
        <w:rPr>
          <w:rFonts w:ascii="Times New Roman" w:hAnsi="Times New Roman"/>
          <w:i/>
          <w:lang w:val="en-US"/>
        </w:rPr>
      </w:pPr>
    </w:p>
    <w:p w14:paraId="3569CAD3" w14:textId="4196B5BC" w:rsidR="0002002E" w:rsidRPr="00B3177D" w:rsidRDefault="0002002E" w:rsidP="0002002E">
      <w:pPr>
        <w:pStyle w:val="Proposal"/>
        <w:tabs>
          <w:tab w:val="clear" w:pos="1871"/>
          <w:tab w:val="num" w:pos="1304"/>
        </w:tabs>
        <w:ind w:left="1304"/>
        <w:rPr>
          <w:rFonts w:ascii="Times New Roman" w:hAnsi="Times New Roman"/>
          <w:i/>
          <w:lang w:val="en-US"/>
        </w:rPr>
      </w:pPr>
      <w:bookmarkStart w:id="14" w:name="_Toc455736310"/>
      <w:bookmarkStart w:id="15" w:name="_Toc455753368"/>
      <w:bookmarkStart w:id="16" w:name="_Toc455754441"/>
      <w:bookmarkStart w:id="17" w:name="_Toc455758619"/>
      <w:bookmarkStart w:id="18" w:name="_Toc456004735"/>
      <w:bookmarkStart w:id="19" w:name="_Toc456020177"/>
      <w:bookmarkStart w:id="20" w:name="_Toc456109535"/>
      <w:bookmarkStart w:id="21" w:name="_Toc456161337"/>
      <w:bookmarkStart w:id="22" w:name="_Toc456173282"/>
      <w:bookmarkStart w:id="23" w:name="_Toc456177124"/>
      <w:bookmarkStart w:id="24" w:name="_Toc456189544"/>
      <w:bookmarkStart w:id="25" w:name="_Toc458443680"/>
      <w:bookmarkStart w:id="26" w:name="_Toc458454796"/>
      <w:bookmarkStart w:id="27" w:name="_Toc458464833"/>
      <w:bookmarkStart w:id="28" w:name="_Toc458467262"/>
      <w:bookmarkStart w:id="29" w:name="_Toc458601809"/>
      <w:r w:rsidRPr="00B3177D">
        <w:rPr>
          <w:rFonts w:ascii="Times New Roman" w:hAnsi="Times New Roman"/>
          <w:i/>
          <w:lang w:val="en-US"/>
        </w:rPr>
        <w:t>Rel-14 NB-</w:t>
      </w:r>
      <w:proofErr w:type="spellStart"/>
      <w:r w:rsidRPr="00B3177D">
        <w:rPr>
          <w:rFonts w:ascii="Times New Roman" w:hAnsi="Times New Roman"/>
          <w:i/>
          <w:lang w:val="en-US"/>
        </w:rPr>
        <w:t>IoT</w:t>
      </w:r>
      <w:proofErr w:type="spellEnd"/>
      <w:r w:rsidRPr="00B3177D">
        <w:rPr>
          <w:rFonts w:ascii="Times New Roman" w:hAnsi="Times New Roman"/>
          <w:i/>
          <w:lang w:val="en-US"/>
        </w:rPr>
        <w:t xml:space="preserve"> UEs shall be able to perform</w:t>
      </w:r>
      <w:r w:rsidR="00D82EC1" w:rsidRPr="00B3177D">
        <w:rPr>
          <w:rFonts w:ascii="Times New Roman" w:hAnsi="Times New Roman"/>
          <w:i/>
          <w:lang w:val="en-US"/>
        </w:rPr>
        <w:t xml:space="preserve"> the</w:t>
      </w:r>
      <w:r w:rsidRPr="00B3177D">
        <w:rPr>
          <w:rFonts w:ascii="Times New Roman" w:hAnsi="Times New Roman"/>
          <w:i/>
          <w:lang w:val="en-US"/>
        </w:rPr>
        <w:t xml:space="preserve"> RA</w:t>
      </w:r>
      <w:r w:rsidR="0001470F" w:rsidRPr="00B3177D">
        <w:rPr>
          <w:rFonts w:ascii="Times New Roman" w:hAnsi="Times New Roman"/>
          <w:i/>
          <w:lang w:val="en-US"/>
        </w:rPr>
        <w:t xml:space="preserve"> </w:t>
      </w:r>
      <w:r w:rsidR="00D82EC1" w:rsidRPr="00B3177D">
        <w:rPr>
          <w:rFonts w:ascii="Times New Roman" w:hAnsi="Times New Roman"/>
          <w:i/>
          <w:lang w:val="en-US"/>
        </w:rPr>
        <w:t xml:space="preserve">procedure </w:t>
      </w:r>
      <w:r w:rsidR="0001470F" w:rsidRPr="00B3177D">
        <w:rPr>
          <w:rFonts w:ascii="Times New Roman" w:hAnsi="Times New Roman"/>
          <w:i/>
          <w:lang w:val="en-US"/>
        </w:rPr>
        <w:t xml:space="preserve">(including </w:t>
      </w:r>
      <w:r w:rsidR="009A367D" w:rsidRPr="00B3177D">
        <w:rPr>
          <w:rFonts w:ascii="Times New Roman" w:hAnsi="Times New Roman"/>
          <w:i/>
          <w:lang w:val="en-US"/>
        </w:rPr>
        <w:t>Msg1/Msg2/Msg3/Msg4</w:t>
      </w:r>
      <w:r w:rsidR="00D82EC1" w:rsidRPr="00B3177D">
        <w:rPr>
          <w:rFonts w:ascii="Times New Roman" w:hAnsi="Times New Roman"/>
          <w:i/>
          <w:lang w:val="en-US"/>
        </w:rPr>
        <w:t>)</w:t>
      </w:r>
      <w:r w:rsidRPr="00B3177D">
        <w:rPr>
          <w:rFonts w:ascii="Times New Roman" w:hAnsi="Times New Roman"/>
          <w:i/>
          <w:lang w:val="en-US"/>
        </w:rPr>
        <w:t xml:space="preserve"> both on anchor and non-anchor carrier</w:t>
      </w:r>
      <w:r w:rsidR="00772FF5" w:rsidRPr="00B3177D">
        <w:rPr>
          <w:rFonts w:ascii="Times New Roman" w:hAnsi="Times New Roman"/>
          <w:i/>
          <w:lang w:val="en-US"/>
        </w:rPr>
        <w:t>(</w:t>
      </w:r>
      <w:r w:rsidRPr="00B3177D">
        <w:rPr>
          <w:rFonts w:ascii="Times New Roman" w:hAnsi="Times New Roman"/>
          <w:i/>
          <w:lang w:val="en-US"/>
        </w:rPr>
        <w:t>s</w:t>
      </w:r>
      <w:r w:rsidR="00772FF5" w:rsidRPr="00B3177D">
        <w:rPr>
          <w:rFonts w:ascii="Times New Roman" w:hAnsi="Times New Roman"/>
          <w:i/>
          <w:lang w:val="en-US"/>
        </w:rPr>
        <w:t>)</w:t>
      </w:r>
      <w:r w:rsidRPr="00B3177D">
        <w:rPr>
          <w:rFonts w:ascii="Times New Roman" w:hAnsi="Times New Roman"/>
          <w:i/>
          <w:lang w:val="en-US"/>
        </w:rPr>
        <w:t>.</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DC6B65A" w14:textId="33FA6DE2" w:rsidR="005E1375" w:rsidRPr="00B3177D" w:rsidRDefault="005E1375" w:rsidP="0002002E">
      <w:pPr>
        <w:pStyle w:val="Proposal"/>
        <w:tabs>
          <w:tab w:val="clear" w:pos="1871"/>
          <w:tab w:val="num" w:pos="1304"/>
        </w:tabs>
        <w:ind w:left="1304"/>
        <w:rPr>
          <w:rFonts w:ascii="Times New Roman" w:hAnsi="Times New Roman"/>
          <w:i/>
          <w:lang w:val="en-US"/>
        </w:rPr>
      </w:pPr>
      <w:r w:rsidRPr="00B3177D">
        <w:rPr>
          <w:rFonts w:ascii="Times New Roman" w:hAnsi="Times New Roman"/>
          <w:i/>
          <w:lang w:val="en-US"/>
        </w:rPr>
        <w:t xml:space="preserve">At least for UEs with 23 </w:t>
      </w:r>
      <w:proofErr w:type="spellStart"/>
      <w:r w:rsidRPr="00B3177D">
        <w:rPr>
          <w:rFonts w:ascii="Times New Roman" w:hAnsi="Times New Roman"/>
          <w:i/>
          <w:lang w:val="en-US"/>
        </w:rPr>
        <w:t>dBm</w:t>
      </w:r>
      <w:proofErr w:type="spellEnd"/>
      <w:r w:rsidRPr="00B3177D">
        <w:rPr>
          <w:rFonts w:ascii="Times New Roman" w:hAnsi="Times New Roman"/>
          <w:i/>
          <w:lang w:val="en-US"/>
        </w:rPr>
        <w:t xml:space="preserve"> and 20 </w:t>
      </w:r>
      <w:proofErr w:type="spellStart"/>
      <w:r w:rsidRPr="00B3177D">
        <w:rPr>
          <w:rFonts w:ascii="Times New Roman" w:hAnsi="Times New Roman"/>
          <w:i/>
          <w:lang w:val="en-US"/>
        </w:rPr>
        <w:t>dBm</w:t>
      </w:r>
      <w:proofErr w:type="spellEnd"/>
      <w:r w:rsidR="00B3177D" w:rsidRPr="00B3177D">
        <w:rPr>
          <w:rFonts w:ascii="Times New Roman" w:hAnsi="Times New Roman"/>
          <w:i/>
          <w:lang w:val="en-US"/>
        </w:rPr>
        <w:t xml:space="preserve"> output power</w:t>
      </w:r>
      <w:r w:rsidRPr="00B3177D">
        <w:rPr>
          <w:rFonts w:ascii="Times New Roman" w:hAnsi="Times New Roman"/>
          <w:i/>
          <w:lang w:val="en-US"/>
        </w:rPr>
        <w:t>, it is desirable to use the same PRACH design for Rel-14 UEs as Rel-13 UEs on both anchor and non-anchor carrier(s).</w:t>
      </w:r>
    </w:p>
    <w:p w14:paraId="34CAB4DE" w14:textId="57C1C02C" w:rsidR="00197D2B" w:rsidRDefault="00197D2B" w:rsidP="003862D6">
      <w:pPr>
        <w:rPr>
          <w:lang w:val="en-US"/>
        </w:rPr>
      </w:pPr>
      <w:r>
        <w:rPr>
          <w:lang w:val="en-US"/>
        </w:rPr>
        <w:t xml:space="preserve">UEs that are able to perform </w:t>
      </w:r>
      <w:r w:rsidR="009A367D">
        <w:rPr>
          <w:lang w:val="en-US"/>
        </w:rPr>
        <w:t xml:space="preserve">the </w:t>
      </w:r>
      <w:r>
        <w:rPr>
          <w:lang w:val="en-US"/>
        </w:rPr>
        <w:t>RA on non-anchor carriers need to know about the configuration of such carriers with regards to the RA procedure. We believe that such confi</w:t>
      </w:r>
      <w:r w:rsidR="00252D94">
        <w:rPr>
          <w:lang w:val="en-US"/>
        </w:rPr>
        <w:t xml:space="preserve">guration needs to be provided </w:t>
      </w:r>
      <w:r w:rsidR="000939DB">
        <w:rPr>
          <w:lang w:val="en-US"/>
        </w:rPr>
        <w:t xml:space="preserve">at least </w:t>
      </w:r>
      <w:r w:rsidR="00252D94">
        <w:rPr>
          <w:lang w:val="en-US"/>
        </w:rPr>
        <w:t>via</w:t>
      </w:r>
      <w:r>
        <w:rPr>
          <w:lang w:val="en-US"/>
        </w:rPr>
        <w:t xml:space="preserve"> </w:t>
      </w:r>
      <w:r w:rsidR="009A367D">
        <w:rPr>
          <w:lang w:val="en-US"/>
        </w:rPr>
        <w:t xml:space="preserve">broadcasted </w:t>
      </w:r>
      <w:r w:rsidR="00F14485">
        <w:rPr>
          <w:lang w:val="en-US"/>
        </w:rPr>
        <w:t>system information, and the detail</w:t>
      </w:r>
      <w:r w:rsidR="005E1375">
        <w:rPr>
          <w:lang w:val="en-US"/>
        </w:rPr>
        <w:t>s</w:t>
      </w:r>
      <w:r w:rsidR="00F14485">
        <w:rPr>
          <w:lang w:val="en-US"/>
        </w:rPr>
        <w:t xml:space="preserve"> should be decided by RAN2. </w:t>
      </w:r>
    </w:p>
    <w:p w14:paraId="231D9F6D" w14:textId="7E4092D9" w:rsidR="00B53A31" w:rsidRPr="00B53A31" w:rsidRDefault="00B53A31" w:rsidP="00B53A31">
      <w:pPr>
        <w:pStyle w:val="Observation"/>
        <w:rPr>
          <w:rFonts w:ascii="Times New Roman" w:hAnsi="Times New Roman"/>
          <w:i/>
          <w:lang w:val="en-US" w:eastAsia="sv-SE"/>
        </w:rPr>
      </w:pPr>
      <w:r>
        <w:rPr>
          <w:rFonts w:ascii="Times New Roman" w:hAnsi="Times New Roman"/>
          <w:i/>
          <w:lang w:val="en-US" w:eastAsia="sv-SE"/>
        </w:rPr>
        <w:t>There is no RAN1 impacts</w:t>
      </w:r>
      <w:r w:rsidRPr="00B53A31">
        <w:rPr>
          <w:rFonts w:ascii="Times New Roman" w:hAnsi="Times New Roman"/>
          <w:i/>
          <w:lang w:val="en-US" w:eastAsia="sv-SE"/>
        </w:rPr>
        <w:t xml:space="preserve"> to provide the RA-related configuration for anchor and non-anchor carrier(s) to UEs via broadcasted system information. </w:t>
      </w:r>
    </w:p>
    <w:p w14:paraId="6EFEF6F4" w14:textId="5ED40888" w:rsidR="002A44FE" w:rsidRPr="00B3177D" w:rsidRDefault="003862D6" w:rsidP="00761F8E">
      <w:pPr>
        <w:rPr>
          <w:rFonts w:ascii="Times New Roman" w:hAnsi="Times New Roman"/>
          <w:i/>
          <w:lang w:val="en-US"/>
        </w:rPr>
      </w:pPr>
      <w:r>
        <w:rPr>
          <w:lang w:val="en-US"/>
        </w:rPr>
        <w:t>Since there m</w:t>
      </w:r>
      <w:r w:rsidR="008F4E89">
        <w:rPr>
          <w:lang w:val="en-US"/>
        </w:rPr>
        <w:t>ight be different amount of Re</w:t>
      </w:r>
      <w:r w:rsidR="00D82EC1">
        <w:rPr>
          <w:lang w:val="en-US"/>
        </w:rPr>
        <w:t>l</w:t>
      </w:r>
      <w:r w:rsidR="008F4E89">
        <w:rPr>
          <w:lang w:val="en-US"/>
        </w:rPr>
        <w:t>-13 and Rel-14 UEs in a cell competing for the same NPRACH resources with the same/comparable amount o</w:t>
      </w:r>
      <w:r w:rsidR="004D43E9">
        <w:rPr>
          <w:lang w:val="en-US"/>
        </w:rPr>
        <w:t xml:space="preserve">f repetition </w:t>
      </w:r>
      <w:r w:rsidR="001250F7">
        <w:rPr>
          <w:lang w:val="en-US"/>
        </w:rPr>
        <w:t>level</w:t>
      </w:r>
      <w:r w:rsidR="00780793">
        <w:rPr>
          <w:lang w:val="en-US"/>
        </w:rPr>
        <w:t>s</w:t>
      </w:r>
      <w:r w:rsidR="001250F7">
        <w:rPr>
          <w:lang w:val="en-US"/>
        </w:rPr>
        <w:t xml:space="preserve">, </w:t>
      </w:r>
      <w:r w:rsidR="00780793">
        <w:rPr>
          <w:lang w:val="en-US"/>
        </w:rPr>
        <w:t xml:space="preserve">there will be </w:t>
      </w:r>
      <w:r w:rsidR="00C21008">
        <w:rPr>
          <w:lang w:val="en-US"/>
        </w:rPr>
        <w:t>a need</w:t>
      </w:r>
      <w:r w:rsidR="004D43E9">
        <w:rPr>
          <w:lang w:val="en-US"/>
        </w:rPr>
        <w:t xml:space="preserve"> for </w:t>
      </w:r>
      <w:r w:rsidR="00780793">
        <w:rPr>
          <w:lang w:val="en-US"/>
        </w:rPr>
        <w:t xml:space="preserve">uneven distribution of such UEs. </w:t>
      </w:r>
      <w:r w:rsidR="00896CCE">
        <w:rPr>
          <w:lang w:val="en-US"/>
        </w:rPr>
        <w:t>Similarly</w:t>
      </w:r>
      <w:r w:rsidR="00A23335" w:rsidRPr="00F44756">
        <w:rPr>
          <w:lang w:val="en-US"/>
        </w:rPr>
        <w:t xml:space="preserve">, if the network estimates that few Rel-13 UEs camp on the cell, then the configuration could be such that </w:t>
      </w:r>
      <w:r w:rsidR="00896CCE">
        <w:rPr>
          <w:lang w:val="en-US"/>
        </w:rPr>
        <w:t xml:space="preserve">the RA procedure for </w:t>
      </w:r>
      <w:r w:rsidR="00A23335" w:rsidRPr="00F44756">
        <w:rPr>
          <w:lang w:val="en-US"/>
        </w:rPr>
        <w:t>Rel-14 UEs</w:t>
      </w:r>
      <w:r w:rsidR="00EC72FB">
        <w:rPr>
          <w:lang w:val="en-US"/>
        </w:rPr>
        <w:t xml:space="preserve"> are</w:t>
      </w:r>
      <w:r w:rsidR="00A23335" w:rsidRPr="00F44756">
        <w:rPr>
          <w:lang w:val="en-US"/>
        </w:rPr>
        <w:t xml:space="preserve"> evenly distributed amongst all carriers including the anchor</w:t>
      </w:r>
      <w:r w:rsidR="00162810">
        <w:rPr>
          <w:lang w:val="en-US"/>
        </w:rPr>
        <w:t xml:space="preserve"> carrier</w:t>
      </w:r>
      <w:r w:rsidR="00A23335">
        <w:rPr>
          <w:lang w:val="en-US"/>
        </w:rPr>
        <w:t>.</w:t>
      </w:r>
    </w:p>
    <w:p w14:paraId="76B629EE" w14:textId="56F0F290" w:rsidR="00761F8E" w:rsidRPr="00B50AE1" w:rsidRDefault="00B50AE1" w:rsidP="00761F8E">
      <w:pPr>
        <w:pStyle w:val="Proposal"/>
        <w:tabs>
          <w:tab w:val="clear" w:pos="1871"/>
          <w:tab w:val="num" w:pos="1304"/>
        </w:tabs>
        <w:ind w:left="1304"/>
        <w:rPr>
          <w:rFonts w:ascii="Times New Roman" w:hAnsi="Times New Roman"/>
          <w:i/>
          <w:lang w:val="en-US"/>
        </w:rPr>
      </w:pPr>
      <w:bookmarkStart w:id="30" w:name="_Toc455753371"/>
      <w:bookmarkStart w:id="31" w:name="_Toc455754444"/>
      <w:bookmarkStart w:id="32" w:name="_Toc455758622"/>
      <w:bookmarkStart w:id="33" w:name="_Toc456004738"/>
      <w:bookmarkStart w:id="34" w:name="_Toc456020180"/>
      <w:bookmarkStart w:id="35" w:name="_Toc456109538"/>
      <w:bookmarkStart w:id="36" w:name="_Toc456161340"/>
      <w:bookmarkStart w:id="37" w:name="_Toc456173285"/>
      <w:bookmarkStart w:id="38" w:name="_Toc456177127"/>
      <w:bookmarkStart w:id="39" w:name="_Toc456189547"/>
      <w:bookmarkStart w:id="40" w:name="_Toc458443683"/>
      <w:bookmarkStart w:id="41" w:name="_Toc458454798"/>
      <w:bookmarkStart w:id="42" w:name="_Toc458464835"/>
      <w:bookmarkStart w:id="43" w:name="_Toc458467264"/>
      <w:bookmarkStart w:id="44" w:name="_Toc458601811"/>
      <w:r w:rsidRPr="00B50AE1">
        <w:rPr>
          <w:rFonts w:ascii="Times New Roman" w:hAnsi="Times New Roman"/>
          <w:i/>
          <w:lang w:val="en-US"/>
        </w:rPr>
        <w:t>It is beneficial to e</w:t>
      </w:r>
      <w:r w:rsidR="00761F8E" w:rsidRPr="00B50AE1">
        <w:rPr>
          <w:rFonts w:ascii="Times New Roman" w:hAnsi="Times New Roman"/>
          <w:i/>
          <w:lang w:val="en-US"/>
        </w:rPr>
        <w:t>nable possibility to configure Rel-14 NB-</w:t>
      </w:r>
      <w:proofErr w:type="spellStart"/>
      <w:r w:rsidR="00761F8E" w:rsidRPr="00B50AE1">
        <w:rPr>
          <w:rFonts w:ascii="Times New Roman" w:hAnsi="Times New Roman"/>
          <w:i/>
          <w:lang w:val="en-US"/>
        </w:rPr>
        <w:t>IoT</w:t>
      </w:r>
      <w:proofErr w:type="spellEnd"/>
      <w:r w:rsidR="00761F8E" w:rsidRPr="00B50AE1">
        <w:rPr>
          <w:rFonts w:ascii="Times New Roman" w:hAnsi="Times New Roman"/>
          <w:i/>
          <w:lang w:val="en-US"/>
        </w:rPr>
        <w:t xml:space="preserve"> UEs </w:t>
      </w:r>
      <w:r w:rsidR="003624A7" w:rsidRPr="00B50AE1">
        <w:rPr>
          <w:rFonts w:ascii="Times New Roman" w:hAnsi="Times New Roman"/>
          <w:i/>
          <w:lang w:val="en-US"/>
        </w:rPr>
        <w:t xml:space="preserve">such that their </w:t>
      </w:r>
      <w:r w:rsidR="00C17B0C" w:rsidRPr="00B50AE1">
        <w:rPr>
          <w:rFonts w:ascii="Times New Roman" w:hAnsi="Times New Roman"/>
          <w:i/>
          <w:lang w:val="en-US"/>
        </w:rPr>
        <w:t xml:space="preserve">RA </w:t>
      </w:r>
      <w:r w:rsidR="003624A7" w:rsidRPr="00B50AE1">
        <w:rPr>
          <w:rFonts w:ascii="Times New Roman" w:hAnsi="Times New Roman"/>
          <w:i/>
          <w:lang w:val="en-US"/>
        </w:rPr>
        <w:t xml:space="preserve">attempts are </w:t>
      </w:r>
      <w:r w:rsidR="00C17B0C" w:rsidRPr="00B50AE1">
        <w:rPr>
          <w:rFonts w:ascii="Times New Roman" w:hAnsi="Times New Roman"/>
          <w:i/>
          <w:lang w:val="en-US"/>
        </w:rPr>
        <w:t xml:space="preserve">unevenly </w:t>
      </w:r>
      <w:r w:rsidR="003624A7" w:rsidRPr="00B50AE1">
        <w:rPr>
          <w:rFonts w:ascii="Times New Roman" w:hAnsi="Times New Roman"/>
          <w:i/>
          <w:lang w:val="en-US"/>
        </w:rPr>
        <w:t xml:space="preserve">distributed </w:t>
      </w:r>
      <w:r w:rsidR="00C17B0C" w:rsidRPr="00B50AE1">
        <w:rPr>
          <w:rFonts w:ascii="Times New Roman" w:hAnsi="Times New Roman"/>
          <w:i/>
          <w:lang w:val="en-US"/>
        </w:rPr>
        <w:t xml:space="preserve">amongst </w:t>
      </w:r>
      <w:r w:rsidR="00761F8E" w:rsidRPr="00B50AE1">
        <w:rPr>
          <w:rFonts w:ascii="Times New Roman" w:hAnsi="Times New Roman"/>
          <w:i/>
          <w:lang w:val="en-US"/>
        </w:rPr>
        <w:t>anchor-, and non-anchor carrier(s).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D603556" w14:textId="54E2322A" w:rsidR="002868AF" w:rsidRDefault="00D17860" w:rsidP="004117BF">
      <w:r>
        <w:rPr>
          <w:lang w:val="en-US"/>
        </w:rPr>
        <w:t xml:space="preserve">Amongst </w:t>
      </w:r>
      <w:r w:rsidR="00271B09">
        <w:rPr>
          <w:lang w:val="en-US"/>
        </w:rPr>
        <w:t xml:space="preserve">the anchor/non-anchor carriers, there is a risk for imbalance in </w:t>
      </w:r>
      <w:r w:rsidR="00735100">
        <w:rPr>
          <w:lang w:val="en-US"/>
        </w:rPr>
        <w:t xml:space="preserve">the amount of available resources between the DL and UL. </w:t>
      </w:r>
      <w:r w:rsidR="00466632">
        <w:rPr>
          <w:lang w:val="en-US"/>
        </w:rPr>
        <w:t xml:space="preserve">In the DL, the anchor carrier carries NPSS/NSSS/PBCH/SI. Also depending on the load, the </w:t>
      </w:r>
      <w:r w:rsidR="007237D3">
        <w:rPr>
          <w:lang w:val="en-US"/>
        </w:rPr>
        <w:t xml:space="preserve">DL </w:t>
      </w:r>
      <w:r w:rsidR="00466632">
        <w:rPr>
          <w:lang w:val="en-US"/>
        </w:rPr>
        <w:t xml:space="preserve">anchor carrier might </w:t>
      </w:r>
      <w:r w:rsidR="00F97A50">
        <w:rPr>
          <w:lang w:val="en-US"/>
        </w:rPr>
        <w:t xml:space="preserve">further </w:t>
      </w:r>
      <w:r w:rsidR="00466632">
        <w:rPr>
          <w:lang w:val="en-US"/>
        </w:rPr>
        <w:t xml:space="preserve">be heavily </w:t>
      </w:r>
      <w:r w:rsidR="00F97A50">
        <w:rPr>
          <w:lang w:val="en-US"/>
        </w:rPr>
        <w:t xml:space="preserve">occupied with Rel-13 </w:t>
      </w:r>
      <w:r w:rsidR="00F97A50" w:rsidRPr="00F97A50">
        <w:rPr>
          <w:lang w:val="en-US"/>
        </w:rPr>
        <w:t>UE’s RAR</w:t>
      </w:r>
      <w:r w:rsidR="007237D3">
        <w:rPr>
          <w:lang w:val="en-US"/>
        </w:rPr>
        <w:t xml:space="preserve"> (Msg2)</w:t>
      </w:r>
      <w:r w:rsidR="00F97A50" w:rsidRPr="00F97A50">
        <w:rPr>
          <w:lang w:val="en-US"/>
        </w:rPr>
        <w:t xml:space="preserve">, </w:t>
      </w:r>
      <w:r w:rsidR="007237D3">
        <w:rPr>
          <w:lang w:val="en-US"/>
        </w:rPr>
        <w:t>Msg4</w:t>
      </w:r>
      <w:r w:rsidR="00F97A50" w:rsidRPr="00F97A50">
        <w:rPr>
          <w:lang w:val="en-US"/>
        </w:rPr>
        <w:t xml:space="preserve">, and paging </w:t>
      </w:r>
      <w:r w:rsidR="007237D3" w:rsidRPr="00577DBF">
        <w:t>related messages (NPDCCH/NPDSCH)</w:t>
      </w:r>
      <w:r w:rsidR="007237D3">
        <w:t xml:space="preserve"> </w:t>
      </w:r>
      <w:r w:rsidR="00F97A50" w:rsidRPr="00F97A50">
        <w:rPr>
          <w:lang w:val="en-US"/>
        </w:rPr>
        <w:t>and hence be a bottleneck</w:t>
      </w:r>
      <w:r w:rsidR="00F97A50">
        <w:rPr>
          <w:lang w:val="en-US"/>
        </w:rPr>
        <w:t xml:space="preserve">. </w:t>
      </w:r>
      <w:r w:rsidR="00496BA5">
        <w:rPr>
          <w:lang w:val="en-US"/>
        </w:rPr>
        <w:t>On the other hand, i</w:t>
      </w:r>
      <w:r w:rsidR="00496BA5" w:rsidRPr="00496BA5">
        <w:rPr>
          <w:lang w:val="en-US"/>
        </w:rPr>
        <w:t xml:space="preserve">f the </w:t>
      </w:r>
      <w:r w:rsidR="00496BA5">
        <w:rPr>
          <w:lang w:val="en-US"/>
        </w:rPr>
        <w:t>anchor carrier is power boosted</w:t>
      </w:r>
      <w:r w:rsidR="00496BA5" w:rsidRPr="00496BA5">
        <w:rPr>
          <w:lang w:val="en-US"/>
        </w:rPr>
        <w:t>, it might be b</w:t>
      </w:r>
      <w:r w:rsidR="00496BA5">
        <w:rPr>
          <w:lang w:val="en-US"/>
        </w:rPr>
        <w:t xml:space="preserve">eneficial to </w:t>
      </w:r>
      <w:r w:rsidR="007237D3">
        <w:rPr>
          <w:lang w:val="en-US"/>
        </w:rPr>
        <w:t xml:space="preserve">use </w:t>
      </w:r>
      <w:r w:rsidR="00496BA5">
        <w:rPr>
          <w:lang w:val="en-US"/>
        </w:rPr>
        <w:t xml:space="preserve">the DL </w:t>
      </w:r>
      <w:r w:rsidR="007237D3">
        <w:t>at least for poor coverage UEs</w:t>
      </w:r>
      <w:r w:rsidR="007237D3">
        <w:rPr>
          <w:lang w:val="en-US"/>
        </w:rPr>
        <w:t xml:space="preserve"> </w:t>
      </w:r>
      <w:r w:rsidR="00496BA5">
        <w:rPr>
          <w:lang w:val="en-US"/>
        </w:rPr>
        <w:t>on the anchor</w:t>
      </w:r>
      <w:r w:rsidR="00496BA5" w:rsidRPr="00496BA5">
        <w:rPr>
          <w:lang w:val="en-US"/>
        </w:rPr>
        <w:t xml:space="preserve"> carrier</w:t>
      </w:r>
      <w:r w:rsidR="00496BA5">
        <w:rPr>
          <w:rStyle w:val="FootnoteReference"/>
          <w:lang w:val="en-US"/>
        </w:rPr>
        <w:footnoteReference w:id="1"/>
      </w:r>
      <w:r w:rsidR="00496BA5">
        <w:rPr>
          <w:lang w:val="en-US"/>
        </w:rPr>
        <w:t>.</w:t>
      </w:r>
      <w:r w:rsidR="00496BA5" w:rsidRPr="00496BA5">
        <w:rPr>
          <w:lang w:val="en-US"/>
        </w:rPr>
        <w:t xml:space="preserve"> </w:t>
      </w:r>
      <w:r w:rsidR="003146BB">
        <w:rPr>
          <w:lang w:val="en-US"/>
        </w:rPr>
        <w:t xml:space="preserve">For </w:t>
      </w:r>
      <w:r w:rsidR="00466632">
        <w:rPr>
          <w:lang w:val="en-US"/>
        </w:rPr>
        <w:t>unicast</w:t>
      </w:r>
      <w:r w:rsidR="003146BB">
        <w:rPr>
          <w:lang w:val="en-US"/>
        </w:rPr>
        <w:t xml:space="preserve"> communication it is already </w:t>
      </w:r>
      <w:r w:rsidR="00AB364A">
        <w:rPr>
          <w:lang w:val="en-US"/>
        </w:rPr>
        <w:t>in</w:t>
      </w:r>
      <w:r w:rsidR="003146BB">
        <w:rPr>
          <w:lang w:val="en-US"/>
        </w:rPr>
        <w:t xml:space="preserve"> Rel-13 </w:t>
      </w:r>
      <w:r w:rsidR="00865F2F">
        <w:rPr>
          <w:lang w:val="en-US"/>
        </w:rPr>
        <w:t>possible to steer</w:t>
      </w:r>
      <w:r w:rsidR="00466632">
        <w:rPr>
          <w:lang w:val="en-US"/>
        </w:rPr>
        <w:t xml:space="preserve"> the</w:t>
      </w:r>
      <w:r w:rsidR="00925455">
        <w:rPr>
          <w:lang w:val="en-US"/>
        </w:rPr>
        <w:t xml:space="preserve"> DL and/or UL of</w:t>
      </w:r>
      <w:r w:rsidR="00466632">
        <w:rPr>
          <w:lang w:val="en-US"/>
        </w:rPr>
        <w:t xml:space="preserve"> UE</w:t>
      </w:r>
      <w:r w:rsidR="007237D3">
        <w:rPr>
          <w:lang w:val="en-US"/>
        </w:rPr>
        <w:t>s</w:t>
      </w:r>
      <w:r w:rsidR="00466632">
        <w:rPr>
          <w:lang w:val="en-US"/>
        </w:rPr>
        <w:t xml:space="preserve"> to non-anchor carrier</w:t>
      </w:r>
      <w:r w:rsidR="007237D3">
        <w:rPr>
          <w:lang w:val="en-US"/>
        </w:rPr>
        <w:t>s</w:t>
      </w:r>
      <w:r w:rsidR="00466632">
        <w:rPr>
          <w:lang w:val="en-US"/>
        </w:rPr>
        <w:t xml:space="preserve"> </w:t>
      </w:r>
      <w:r w:rsidR="00466632" w:rsidRPr="00466632">
        <w:rPr>
          <w:i/>
          <w:lang w:val="en-US"/>
        </w:rPr>
        <w:t>after</w:t>
      </w:r>
      <w:r w:rsidR="00466632">
        <w:rPr>
          <w:lang w:val="en-US"/>
        </w:rPr>
        <w:t xml:space="preserve"> the RA procedure</w:t>
      </w:r>
      <w:r w:rsidR="00925455">
        <w:rPr>
          <w:lang w:val="en-US"/>
        </w:rPr>
        <w:t xml:space="preserve"> via </w:t>
      </w:r>
      <w:proofErr w:type="spellStart"/>
      <w:r w:rsidR="00925455">
        <w:rPr>
          <w:i/>
          <w:lang w:val="en-US"/>
        </w:rPr>
        <w:t>physicalConfigDedicated</w:t>
      </w:r>
      <w:proofErr w:type="spellEnd"/>
      <w:r w:rsidR="00925455">
        <w:rPr>
          <w:i/>
          <w:lang w:val="en-US"/>
        </w:rPr>
        <w:t>-NB</w:t>
      </w:r>
      <w:r w:rsidR="007237D3">
        <w:rPr>
          <w:i/>
          <w:lang w:val="en-US"/>
        </w:rPr>
        <w:t xml:space="preserve"> </w:t>
      </w:r>
      <w:r w:rsidR="007237D3">
        <w:t>(as part of Msg4)</w:t>
      </w:r>
      <w:r w:rsidR="00466632">
        <w:rPr>
          <w:lang w:val="en-US"/>
        </w:rPr>
        <w:t>. H</w:t>
      </w:r>
      <w:r w:rsidR="00865F2F">
        <w:rPr>
          <w:lang w:val="en-US"/>
        </w:rPr>
        <w:t>owever, during</w:t>
      </w:r>
      <w:r w:rsidR="00466632">
        <w:rPr>
          <w:lang w:val="en-US"/>
        </w:rPr>
        <w:t xml:space="preserve"> the </w:t>
      </w:r>
      <w:r w:rsidR="00865F2F">
        <w:rPr>
          <w:lang w:val="en-US"/>
        </w:rPr>
        <w:t>RA procedure</w:t>
      </w:r>
      <w:r w:rsidR="007237D3">
        <w:rPr>
          <w:lang w:val="en-US"/>
        </w:rPr>
        <w:t xml:space="preserve"> </w:t>
      </w:r>
      <w:r w:rsidR="007237D3">
        <w:t>(Msg1, Msg2, Msg3 Msg4)</w:t>
      </w:r>
      <w:r w:rsidR="00865F2F">
        <w:rPr>
          <w:lang w:val="en-US"/>
        </w:rPr>
        <w:t>, no such possibility exists today and</w:t>
      </w:r>
      <w:r w:rsidR="00137CE9">
        <w:rPr>
          <w:lang w:val="en-US"/>
        </w:rPr>
        <w:t xml:space="preserve"> </w:t>
      </w:r>
      <w:r w:rsidR="00865F2F">
        <w:rPr>
          <w:lang w:val="en-US"/>
        </w:rPr>
        <w:t xml:space="preserve">therefore </w:t>
      </w:r>
      <w:r w:rsidR="007237D3">
        <w:rPr>
          <w:lang w:val="en-US"/>
        </w:rPr>
        <w:t xml:space="preserve">we </w:t>
      </w:r>
      <w:r w:rsidR="00416B91">
        <w:rPr>
          <w:lang w:val="en-US"/>
        </w:rPr>
        <w:t>see a need for separation of</w:t>
      </w:r>
      <w:r w:rsidR="00735100">
        <w:rPr>
          <w:lang w:val="en-US"/>
        </w:rPr>
        <w:t xml:space="preserve"> DL/UL</w:t>
      </w:r>
      <w:r w:rsidR="00865F2F">
        <w:rPr>
          <w:lang w:val="en-US"/>
        </w:rPr>
        <w:t xml:space="preserve"> </w:t>
      </w:r>
      <w:r w:rsidR="007237D3">
        <w:rPr>
          <w:lang w:val="en-US"/>
        </w:rPr>
        <w:t xml:space="preserve">carrier frequencies </w:t>
      </w:r>
      <w:r w:rsidR="00865F2F">
        <w:rPr>
          <w:lang w:val="en-US"/>
        </w:rPr>
        <w:t xml:space="preserve">already before </w:t>
      </w:r>
      <w:r w:rsidR="007237D3">
        <w:t>Msg4, i.e. as part of the random access procedure</w:t>
      </w:r>
      <w:r w:rsidR="00865F2F">
        <w:rPr>
          <w:lang w:val="en-US"/>
        </w:rPr>
        <w:t xml:space="preserve">. </w:t>
      </w:r>
      <w:r w:rsidR="004117BF">
        <w:rPr>
          <w:lang w:val="en-US"/>
        </w:rPr>
        <w:t>Hence, w</w:t>
      </w:r>
      <w:r w:rsidR="00271B09" w:rsidRPr="004117BF">
        <w:rPr>
          <w:lang w:val="en-US"/>
        </w:rPr>
        <w:t xml:space="preserve">e think it should be possible </w:t>
      </w:r>
      <w:r w:rsidR="006A336C">
        <w:rPr>
          <w:lang w:val="en-US"/>
        </w:rPr>
        <w:t xml:space="preserve">in the RA-related configuration </w:t>
      </w:r>
      <w:r w:rsidR="00271B09" w:rsidRPr="004117BF">
        <w:rPr>
          <w:lang w:val="en-US"/>
        </w:rPr>
        <w:t xml:space="preserve">to configure </w:t>
      </w:r>
      <w:r w:rsidR="007237D3">
        <w:rPr>
          <w:lang w:val="en-US"/>
        </w:rPr>
        <w:t xml:space="preserve">what </w:t>
      </w:r>
      <w:r w:rsidR="00BE4C65" w:rsidRPr="004117BF">
        <w:rPr>
          <w:lang w:val="en-US"/>
        </w:rPr>
        <w:t>DL</w:t>
      </w:r>
      <w:r w:rsidR="00BE4C65">
        <w:rPr>
          <w:lang w:val="en-US"/>
        </w:rPr>
        <w:t xml:space="preserve"> </w:t>
      </w:r>
      <w:r w:rsidR="00BE4C65" w:rsidRPr="004117BF">
        <w:rPr>
          <w:lang w:val="en-US"/>
        </w:rPr>
        <w:t>carrier</w:t>
      </w:r>
      <w:r w:rsidR="00271B09" w:rsidRPr="004117BF">
        <w:rPr>
          <w:lang w:val="en-US"/>
        </w:rPr>
        <w:t xml:space="preserve"> </w:t>
      </w:r>
      <w:r w:rsidR="002868AF">
        <w:t xml:space="preserve">the UE for each NPRACH resource will receive Msg2 and Msg4 </w:t>
      </w:r>
      <w:r w:rsidR="00271B09" w:rsidRPr="004117BF">
        <w:rPr>
          <w:lang w:val="en-US"/>
        </w:rPr>
        <w:t>duri</w:t>
      </w:r>
      <w:r w:rsidR="00A003CE">
        <w:rPr>
          <w:lang w:val="en-US"/>
        </w:rPr>
        <w:t xml:space="preserve">ng </w:t>
      </w:r>
      <w:r w:rsidR="002868AF">
        <w:rPr>
          <w:lang w:val="en-US"/>
        </w:rPr>
        <w:t xml:space="preserve">the </w:t>
      </w:r>
      <w:r w:rsidR="00A003CE">
        <w:rPr>
          <w:lang w:val="en-US"/>
        </w:rPr>
        <w:t>RA procedure</w:t>
      </w:r>
      <w:r w:rsidR="00271B09" w:rsidRPr="004117BF">
        <w:rPr>
          <w:lang w:val="en-US"/>
        </w:rPr>
        <w:t>.</w:t>
      </w:r>
      <w:r w:rsidR="008F2CE4" w:rsidRPr="008F2CE4">
        <w:t xml:space="preserve"> </w:t>
      </w:r>
      <w:r w:rsidR="002868AF">
        <w:t>The DL carrier could either be an anchor carrier or a non-anchor carrier. Further, it could be possible to configure if Msg3 transmissions should be done on the same UL car</w:t>
      </w:r>
      <w:r w:rsidR="004077F5">
        <w:t xml:space="preserve">rier as Msg1 was transmitted, </w:t>
      </w:r>
      <w:r w:rsidR="002868AF">
        <w:t xml:space="preserve">on the anchor UL carrier or on another (non-anchor) UL carrier. </w:t>
      </w:r>
      <w:r w:rsidR="004077F5">
        <w:t xml:space="preserve">However, we do not see a large benefit for this so we propose to keep the UL carrier frequency the same during the RA procedure. </w:t>
      </w:r>
    </w:p>
    <w:p w14:paraId="143148D4" w14:textId="16787949" w:rsidR="00271B09" w:rsidRDefault="008F2CE4" w:rsidP="004117BF">
      <w:pPr>
        <w:rPr>
          <w:lang w:val="en-US"/>
        </w:rPr>
      </w:pPr>
      <w:r>
        <w:rPr>
          <w:lang w:val="en-US"/>
        </w:rPr>
        <w:t xml:space="preserve">After </w:t>
      </w:r>
      <w:r w:rsidR="002868AF">
        <w:rPr>
          <w:lang w:val="en-US"/>
        </w:rPr>
        <w:t>Msg4</w:t>
      </w:r>
      <w:r>
        <w:rPr>
          <w:lang w:val="en-US"/>
        </w:rPr>
        <w:t>,</w:t>
      </w:r>
      <w:r w:rsidR="00416B91">
        <w:rPr>
          <w:lang w:val="en-US"/>
        </w:rPr>
        <w:t xml:space="preserve"> the UE may be</w:t>
      </w:r>
      <w:r w:rsidRPr="008F2CE4">
        <w:rPr>
          <w:lang w:val="en-US"/>
        </w:rPr>
        <w:t xml:space="preserve"> directed to a carrier as in Rel-13</w:t>
      </w:r>
      <w:r w:rsidR="00416B91">
        <w:rPr>
          <w:lang w:val="en-US"/>
        </w:rPr>
        <w:t xml:space="preserve"> through a dedicated configuration</w:t>
      </w:r>
      <w:r w:rsidRPr="008F2CE4">
        <w:rPr>
          <w:lang w:val="en-US"/>
        </w:rPr>
        <w:t>. If no dedicated configurat</w:t>
      </w:r>
      <w:r>
        <w:rPr>
          <w:lang w:val="en-US"/>
        </w:rPr>
        <w:t>ion is provided</w:t>
      </w:r>
      <w:r w:rsidR="00416B91">
        <w:rPr>
          <w:lang w:val="en-US"/>
        </w:rPr>
        <w:t>,</w:t>
      </w:r>
      <w:r>
        <w:rPr>
          <w:lang w:val="en-US"/>
        </w:rPr>
        <w:t xml:space="preserve"> the UE remains on the UL </w:t>
      </w:r>
      <w:r w:rsidR="002868AF">
        <w:rPr>
          <w:lang w:val="en-US"/>
        </w:rPr>
        <w:t xml:space="preserve">carrier </w:t>
      </w:r>
      <w:r>
        <w:rPr>
          <w:lang w:val="en-US"/>
        </w:rPr>
        <w:t xml:space="preserve">where </w:t>
      </w:r>
      <w:r w:rsidR="002868AF">
        <w:rPr>
          <w:lang w:val="en-US"/>
        </w:rPr>
        <w:t xml:space="preserve">Msg1 </w:t>
      </w:r>
      <w:r>
        <w:rPr>
          <w:lang w:val="en-US"/>
        </w:rPr>
        <w:t xml:space="preserve">was transmitted and </w:t>
      </w:r>
      <w:r w:rsidR="002868AF">
        <w:rPr>
          <w:lang w:val="en-US"/>
        </w:rPr>
        <w:t xml:space="preserve">the </w:t>
      </w:r>
      <w:r>
        <w:rPr>
          <w:lang w:val="en-US"/>
        </w:rPr>
        <w:t xml:space="preserve">DL where </w:t>
      </w:r>
      <w:r w:rsidR="002868AF">
        <w:rPr>
          <w:lang w:val="en-US"/>
        </w:rPr>
        <w:t>Msg2</w:t>
      </w:r>
      <w:r w:rsidR="002868AF" w:rsidRPr="008F2CE4">
        <w:rPr>
          <w:lang w:val="en-US"/>
        </w:rPr>
        <w:t xml:space="preserve"> </w:t>
      </w:r>
      <w:r w:rsidRPr="008F2CE4">
        <w:rPr>
          <w:lang w:val="en-US"/>
        </w:rPr>
        <w:t xml:space="preserve">was </w:t>
      </w:r>
      <w:r w:rsidR="002868AF">
        <w:rPr>
          <w:lang w:val="en-US"/>
        </w:rPr>
        <w:t>received</w:t>
      </w:r>
      <w:r w:rsidRPr="008F2CE4">
        <w:rPr>
          <w:lang w:val="en-US"/>
        </w:rPr>
        <w:t>.</w:t>
      </w:r>
      <w:r w:rsidR="002868AF">
        <w:rPr>
          <w:lang w:val="en-US"/>
        </w:rPr>
        <w:t xml:space="preserve"> </w:t>
      </w:r>
      <w:r w:rsidR="002868AF">
        <w:t>If this is supported, a NW could configure a NB-</w:t>
      </w:r>
      <w:proofErr w:type="spellStart"/>
      <w:r w:rsidR="002868AF">
        <w:t>IoT</w:t>
      </w:r>
      <w:proofErr w:type="spellEnd"/>
      <w:r w:rsidR="002868AF">
        <w:t xml:space="preserve"> cell such that UEs in poor coverage use the power boosted DL carrier for Msg2, and Msg4, whereas the UEs in good coverage are configured to use non-power boosted DL carriers for Msg2/Msg4.</w:t>
      </w:r>
    </w:p>
    <w:p w14:paraId="54038980" w14:textId="4B1ED2FA" w:rsidR="00FC7F9A" w:rsidRPr="00B50AE1" w:rsidRDefault="00FC7F9A" w:rsidP="004117BF">
      <w:pPr>
        <w:rPr>
          <w:rFonts w:ascii="Times New Roman" w:hAnsi="Times New Roman"/>
          <w:i/>
          <w:lang w:val="en-US"/>
        </w:rPr>
      </w:pPr>
    </w:p>
    <w:p w14:paraId="78884112" w14:textId="77777777" w:rsidR="00CC2E8D" w:rsidRDefault="00CC2E8D" w:rsidP="00CC2E8D">
      <w:pPr>
        <w:pStyle w:val="Proposal"/>
        <w:numPr>
          <w:ilvl w:val="0"/>
          <w:numId w:val="0"/>
        </w:numPr>
        <w:ind w:left="1304"/>
        <w:rPr>
          <w:rFonts w:ascii="Times New Roman" w:hAnsi="Times New Roman"/>
          <w:i/>
          <w:lang w:val="en-US"/>
        </w:rPr>
      </w:pPr>
      <w:bookmarkStart w:id="45" w:name="_Toc456004741"/>
      <w:bookmarkStart w:id="46" w:name="_Toc456020183"/>
      <w:bookmarkStart w:id="47" w:name="_Toc456109541"/>
      <w:bookmarkStart w:id="48" w:name="_Toc456161343"/>
      <w:bookmarkStart w:id="49" w:name="_Toc456173288"/>
      <w:bookmarkStart w:id="50" w:name="_Toc456177130"/>
      <w:bookmarkStart w:id="51" w:name="_Toc456189551"/>
      <w:bookmarkStart w:id="52" w:name="_Toc458443687"/>
      <w:bookmarkStart w:id="53" w:name="_Toc458454802"/>
      <w:bookmarkStart w:id="54" w:name="_Toc458464839"/>
      <w:bookmarkStart w:id="55" w:name="_Toc458467266"/>
      <w:bookmarkStart w:id="56" w:name="_Toc458601813"/>
    </w:p>
    <w:p w14:paraId="14D695D3" w14:textId="77777777" w:rsidR="00CC2E8D" w:rsidRPr="00CC2E8D" w:rsidRDefault="00CC2E8D" w:rsidP="00CC2E8D">
      <w:pPr>
        <w:pStyle w:val="Proposal"/>
        <w:tabs>
          <w:tab w:val="clear" w:pos="1871"/>
          <w:tab w:val="num" w:pos="1304"/>
        </w:tabs>
        <w:ind w:left="1304"/>
        <w:rPr>
          <w:rFonts w:ascii="Times New Roman" w:hAnsi="Times New Roman"/>
          <w:i/>
          <w:lang w:val="en-US"/>
        </w:rPr>
      </w:pPr>
      <w:bookmarkStart w:id="57" w:name="_Toc458674958"/>
      <w:bookmarkEnd w:id="45"/>
      <w:bookmarkEnd w:id="46"/>
      <w:bookmarkEnd w:id="47"/>
      <w:bookmarkEnd w:id="48"/>
      <w:bookmarkEnd w:id="49"/>
      <w:bookmarkEnd w:id="50"/>
      <w:bookmarkEnd w:id="51"/>
      <w:bookmarkEnd w:id="52"/>
      <w:bookmarkEnd w:id="53"/>
      <w:bookmarkEnd w:id="54"/>
      <w:bookmarkEnd w:id="55"/>
      <w:bookmarkEnd w:id="56"/>
      <w:r w:rsidRPr="00CC2E8D">
        <w:rPr>
          <w:rFonts w:ascii="Times New Roman" w:hAnsi="Times New Roman"/>
          <w:i/>
          <w:lang w:val="en-US"/>
        </w:rPr>
        <w:lastRenderedPageBreak/>
        <w:t>For the RA procedure including Msg1/Msg2/Msg3/Msg4, it shall be possible to configure the DL carrier to be used per NPRACH resource present on non-anchor carriers.</w:t>
      </w:r>
      <w:bookmarkEnd w:id="57"/>
    </w:p>
    <w:p w14:paraId="28EEF916" w14:textId="35A1177B" w:rsidR="005A45E2" w:rsidRPr="00B50AE1" w:rsidRDefault="005A45E2" w:rsidP="005A45E2">
      <w:pPr>
        <w:pStyle w:val="Proposal"/>
        <w:tabs>
          <w:tab w:val="clear" w:pos="1871"/>
          <w:tab w:val="num" w:pos="1304"/>
        </w:tabs>
        <w:ind w:left="1304"/>
        <w:rPr>
          <w:rFonts w:ascii="Times New Roman" w:hAnsi="Times New Roman"/>
          <w:i/>
          <w:lang w:val="en-US"/>
        </w:rPr>
      </w:pPr>
      <w:bookmarkStart w:id="58" w:name="_Toc458464840"/>
      <w:bookmarkStart w:id="59" w:name="_Toc456004742"/>
      <w:bookmarkStart w:id="60" w:name="_Toc456020184"/>
      <w:bookmarkStart w:id="61" w:name="_Toc456109542"/>
      <w:bookmarkStart w:id="62" w:name="_Toc456161344"/>
      <w:bookmarkStart w:id="63" w:name="_Toc456173289"/>
      <w:bookmarkStart w:id="64" w:name="_Toc456177131"/>
      <w:bookmarkStart w:id="65" w:name="_Toc456189552"/>
      <w:bookmarkStart w:id="66" w:name="_Toc458443688"/>
      <w:bookmarkStart w:id="67" w:name="_Toc458454803"/>
      <w:bookmarkStart w:id="68" w:name="_Toc458467267"/>
      <w:bookmarkStart w:id="69" w:name="_Toc458601814"/>
      <w:r w:rsidRPr="00B50AE1">
        <w:rPr>
          <w:rFonts w:ascii="Times New Roman" w:hAnsi="Times New Roman"/>
          <w:i/>
          <w:lang w:val="en-US"/>
        </w:rPr>
        <w:t xml:space="preserve">During </w:t>
      </w:r>
      <w:r w:rsidR="004077F5" w:rsidRPr="00B50AE1">
        <w:rPr>
          <w:rFonts w:ascii="Times New Roman" w:hAnsi="Times New Roman"/>
          <w:i/>
          <w:lang w:val="en-US"/>
        </w:rPr>
        <w:t xml:space="preserve">the </w:t>
      </w:r>
      <w:r w:rsidRPr="00B50AE1">
        <w:rPr>
          <w:rFonts w:ascii="Times New Roman" w:hAnsi="Times New Roman"/>
          <w:i/>
          <w:lang w:val="en-US"/>
        </w:rPr>
        <w:t>RA procedure incl</w:t>
      </w:r>
      <w:r w:rsidR="004077F5" w:rsidRPr="00B50AE1">
        <w:rPr>
          <w:rFonts w:ascii="Times New Roman" w:hAnsi="Times New Roman"/>
          <w:i/>
          <w:lang w:val="en-US"/>
        </w:rPr>
        <w:t>uding Msg1/Msg2/Msg3/Msg4</w:t>
      </w:r>
      <w:r w:rsidRPr="00B50AE1">
        <w:rPr>
          <w:rFonts w:ascii="Times New Roman" w:hAnsi="Times New Roman"/>
          <w:i/>
          <w:lang w:val="en-US"/>
        </w:rPr>
        <w:t xml:space="preserve">, it is sufficient to </w:t>
      </w:r>
      <w:r w:rsidR="004077F5" w:rsidRPr="00B50AE1">
        <w:rPr>
          <w:rFonts w:ascii="Times New Roman" w:hAnsi="Times New Roman"/>
          <w:i/>
          <w:lang w:val="en-US"/>
        </w:rPr>
        <w:t>use one UL carrier (for Msg1/Msg3) and one DL carrier (for Msg2/Msg4).</w:t>
      </w:r>
      <w:bookmarkEnd w:id="58"/>
      <w:bookmarkEnd w:id="59"/>
      <w:bookmarkEnd w:id="60"/>
      <w:bookmarkEnd w:id="61"/>
      <w:bookmarkEnd w:id="62"/>
      <w:bookmarkEnd w:id="63"/>
      <w:bookmarkEnd w:id="64"/>
      <w:bookmarkEnd w:id="65"/>
      <w:bookmarkEnd w:id="66"/>
      <w:bookmarkEnd w:id="67"/>
      <w:bookmarkEnd w:id="68"/>
      <w:bookmarkEnd w:id="69"/>
    </w:p>
    <w:p w14:paraId="022C767D" w14:textId="6FF073A1" w:rsidR="005A45E2" w:rsidRPr="00B50AE1" w:rsidRDefault="005A45E2" w:rsidP="00FC7F9A">
      <w:pPr>
        <w:pStyle w:val="Proposal"/>
        <w:tabs>
          <w:tab w:val="clear" w:pos="1871"/>
          <w:tab w:val="num" w:pos="1304"/>
        </w:tabs>
        <w:ind w:left="1304"/>
        <w:rPr>
          <w:rFonts w:ascii="Times New Roman" w:hAnsi="Times New Roman"/>
          <w:i/>
          <w:lang w:val="en-US"/>
        </w:rPr>
      </w:pPr>
      <w:bookmarkStart w:id="70" w:name="_Toc456004743"/>
      <w:bookmarkStart w:id="71" w:name="_Toc456020185"/>
      <w:bookmarkStart w:id="72" w:name="_Toc456109543"/>
      <w:bookmarkStart w:id="73" w:name="_Toc456161345"/>
      <w:bookmarkStart w:id="74" w:name="_Toc456173290"/>
      <w:bookmarkStart w:id="75" w:name="_Toc456177132"/>
      <w:bookmarkStart w:id="76" w:name="_Toc456189553"/>
      <w:bookmarkStart w:id="77" w:name="_Toc458443689"/>
      <w:bookmarkStart w:id="78" w:name="_Toc458454804"/>
      <w:bookmarkStart w:id="79" w:name="_Toc458464841"/>
      <w:bookmarkStart w:id="80" w:name="_Toc458467268"/>
      <w:bookmarkStart w:id="81" w:name="_Toc458601815"/>
      <w:r w:rsidRPr="00B50AE1">
        <w:rPr>
          <w:rFonts w:ascii="Times New Roman" w:hAnsi="Times New Roman"/>
          <w:i/>
          <w:lang w:val="en-US"/>
        </w:rPr>
        <w:t>If no dedicated configuration</w:t>
      </w:r>
      <w:r w:rsidR="00321566" w:rsidRPr="00B50AE1">
        <w:rPr>
          <w:rFonts w:ascii="Times New Roman" w:hAnsi="Times New Roman"/>
          <w:i/>
          <w:lang w:val="en-US"/>
        </w:rPr>
        <w:t xml:space="preserve"> (</w:t>
      </w:r>
      <w:proofErr w:type="spellStart"/>
      <w:r w:rsidR="00321566" w:rsidRPr="00B50AE1">
        <w:rPr>
          <w:rFonts w:ascii="Times New Roman" w:hAnsi="Times New Roman"/>
          <w:i/>
          <w:lang w:val="en-US"/>
        </w:rPr>
        <w:t>physicalConfigDedicated</w:t>
      </w:r>
      <w:proofErr w:type="spellEnd"/>
      <w:r w:rsidR="00321566" w:rsidRPr="00B50AE1">
        <w:rPr>
          <w:rFonts w:ascii="Times New Roman" w:hAnsi="Times New Roman"/>
          <w:i/>
          <w:lang w:val="en-US"/>
        </w:rPr>
        <w:t>-NB)</w:t>
      </w:r>
      <w:r w:rsidRPr="00B50AE1">
        <w:rPr>
          <w:rFonts w:ascii="Times New Roman" w:hAnsi="Times New Roman"/>
          <w:i/>
          <w:lang w:val="en-US"/>
        </w:rPr>
        <w:t xml:space="preserve"> is provided </w:t>
      </w:r>
      <w:r w:rsidR="00D35FF6" w:rsidRPr="00B50AE1">
        <w:rPr>
          <w:rFonts w:ascii="Times New Roman" w:hAnsi="Times New Roman"/>
          <w:i/>
          <w:lang w:val="en-US"/>
        </w:rPr>
        <w:t xml:space="preserve">to </w:t>
      </w:r>
      <w:r w:rsidRPr="00B50AE1">
        <w:rPr>
          <w:rFonts w:ascii="Times New Roman" w:hAnsi="Times New Roman"/>
          <w:i/>
          <w:lang w:val="en-US"/>
        </w:rPr>
        <w:t xml:space="preserve">the UE in </w:t>
      </w:r>
      <w:r w:rsidR="00D35FF6" w:rsidRPr="00B50AE1">
        <w:rPr>
          <w:rFonts w:ascii="Times New Roman" w:hAnsi="Times New Roman"/>
          <w:i/>
          <w:lang w:val="en-US"/>
        </w:rPr>
        <w:t>Msg4</w:t>
      </w:r>
      <w:r w:rsidRPr="00B50AE1">
        <w:rPr>
          <w:rFonts w:ascii="Times New Roman" w:hAnsi="Times New Roman"/>
          <w:i/>
          <w:lang w:val="en-US"/>
        </w:rPr>
        <w:t xml:space="preserve">, the UE remains on the UL </w:t>
      </w:r>
      <w:r w:rsidR="00D35FF6" w:rsidRPr="00B50AE1">
        <w:rPr>
          <w:rFonts w:ascii="Times New Roman" w:hAnsi="Times New Roman"/>
          <w:i/>
          <w:lang w:val="en-US"/>
        </w:rPr>
        <w:t xml:space="preserve">carrier </w:t>
      </w:r>
      <w:r w:rsidRPr="00B50AE1">
        <w:rPr>
          <w:rFonts w:ascii="Times New Roman" w:hAnsi="Times New Roman"/>
          <w:i/>
          <w:lang w:val="en-US"/>
        </w:rPr>
        <w:t>where</w:t>
      </w:r>
      <w:r w:rsidR="00D35FF6" w:rsidRPr="00B50AE1">
        <w:rPr>
          <w:rFonts w:ascii="Times New Roman" w:hAnsi="Times New Roman"/>
          <w:i/>
          <w:lang w:val="en-US"/>
        </w:rPr>
        <w:t xml:space="preserve"> Msg1/Msg3</w:t>
      </w:r>
      <w:r w:rsidRPr="00B50AE1">
        <w:rPr>
          <w:rFonts w:ascii="Times New Roman" w:hAnsi="Times New Roman"/>
          <w:i/>
          <w:lang w:val="en-US"/>
        </w:rPr>
        <w:t xml:space="preserve"> was transmitted and </w:t>
      </w:r>
      <w:r w:rsidR="00D35FF6" w:rsidRPr="00B50AE1">
        <w:rPr>
          <w:rFonts w:ascii="Times New Roman" w:hAnsi="Times New Roman"/>
          <w:i/>
          <w:lang w:val="en-US"/>
        </w:rPr>
        <w:t xml:space="preserve">on the </w:t>
      </w:r>
      <w:r w:rsidRPr="00B50AE1">
        <w:rPr>
          <w:rFonts w:ascii="Times New Roman" w:hAnsi="Times New Roman"/>
          <w:i/>
          <w:lang w:val="en-US"/>
        </w:rPr>
        <w:t xml:space="preserve">DL </w:t>
      </w:r>
      <w:r w:rsidR="00D35FF6" w:rsidRPr="00B50AE1">
        <w:rPr>
          <w:rFonts w:ascii="Times New Roman" w:hAnsi="Times New Roman"/>
          <w:i/>
          <w:lang w:val="en-US"/>
        </w:rPr>
        <w:t xml:space="preserve">carrier </w:t>
      </w:r>
      <w:r w:rsidRPr="00B50AE1">
        <w:rPr>
          <w:rFonts w:ascii="Times New Roman" w:hAnsi="Times New Roman"/>
          <w:i/>
          <w:lang w:val="en-US"/>
        </w:rPr>
        <w:t xml:space="preserve">where </w:t>
      </w:r>
      <w:r w:rsidR="00D35FF6" w:rsidRPr="00B50AE1">
        <w:rPr>
          <w:rFonts w:ascii="Times New Roman" w:hAnsi="Times New Roman"/>
          <w:i/>
          <w:lang w:val="en-US"/>
        </w:rPr>
        <w:t xml:space="preserve">Msg2/Msg4 </w:t>
      </w:r>
      <w:r w:rsidRPr="00B50AE1">
        <w:rPr>
          <w:rFonts w:ascii="Times New Roman" w:hAnsi="Times New Roman"/>
          <w:i/>
          <w:lang w:val="en-US"/>
        </w:rPr>
        <w:t xml:space="preserve">was </w:t>
      </w:r>
      <w:r w:rsidR="00D35FF6" w:rsidRPr="00B50AE1">
        <w:rPr>
          <w:rFonts w:ascii="Times New Roman" w:hAnsi="Times New Roman"/>
          <w:i/>
          <w:lang w:val="en-US"/>
        </w:rPr>
        <w:t>received</w:t>
      </w:r>
      <w:bookmarkEnd w:id="70"/>
      <w:bookmarkEnd w:id="71"/>
      <w:bookmarkEnd w:id="72"/>
      <w:bookmarkEnd w:id="73"/>
      <w:bookmarkEnd w:id="74"/>
      <w:bookmarkEnd w:id="75"/>
      <w:r w:rsidR="003C7D5C" w:rsidRPr="00B50AE1">
        <w:rPr>
          <w:rFonts w:ascii="Times New Roman" w:hAnsi="Times New Roman"/>
          <w:i/>
          <w:lang w:val="en-US"/>
        </w:rPr>
        <w:t>.</w:t>
      </w:r>
      <w:bookmarkEnd w:id="76"/>
      <w:bookmarkEnd w:id="77"/>
      <w:bookmarkEnd w:id="78"/>
      <w:bookmarkEnd w:id="79"/>
      <w:bookmarkEnd w:id="80"/>
      <w:bookmarkEnd w:id="81"/>
    </w:p>
    <w:p w14:paraId="29CD9973" w14:textId="77777777" w:rsidR="00774CC1" w:rsidRDefault="001A3ED5" w:rsidP="00761F8E">
      <w:pPr>
        <w:rPr>
          <w:lang w:val="en-US"/>
        </w:rPr>
      </w:pPr>
      <w:r>
        <w:rPr>
          <w:lang w:val="en-US"/>
        </w:rPr>
        <w:t>In Rel-13, two power classes were defined for NB-</w:t>
      </w:r>
      <w:proofErr w:type="spellStart"/>
      <w:r>
        <w:rPr>
          <w:lang w:val="en-US"/>
        </w:rPr>
        <w:t>IoT</w:t>
      </w:r>
      <w:proofErr w:type="spellEnd"/>
      <w:r>
        <w:rPr>
          <w:lang w:val="en-US"/>
        </w:rPr>
        <w:t xml:space="preserve"> UEs; </w:t>
      </w:r>
      <w:r w:rsidR="00E5750B">
        <w:rPr>
          <w:lang w:val="en-US"/>
        </w:rPr>
        <w:t>namely 23</w:t>
      </w:r>
      <w:r>
        <w:rPr>
          <w:lang w:val="en-US"/>
        </w:rPr>
        <w:t xml:space="preserve">dBm and </w:t>
      </w:r>
      <w:r w:rsidR="00E5750B">
        <w:rPr>
          <w:lang w:val="en-US"/>
        </w:rPr>
        <w:t>20</w:t>
      </w:r>
      <w:r>
        <w:rPr>
          <w:lang w:val="en-US"/>
        </w:rPr>
        <w:t>dBm.</w:t>
      </w:r>
      <w:r w:rsidR="00774CC1">
        <w:rPr>
          <w:lang w:val="en-US"/>
        </w:rPr>
        <w:t xml:space="preserve"> In Rel-14, even lower power classes might become relevant as described in the WID:</w:t>
      </w:r>
    </w:p>
    <w:p w14:paraId="16ADF979" w14:textId="1EA6F783" w:rsidR="00774CC1" w:rsidRPr="00774CC1" w:rsidRDefault="00774CC1" w:rsidP="00774CC1">
      <w:pPr>
        <w:spacing w:after="180"/>
        <w:ind w:left="720"/>
        <w:contextualSpacing/>
        <w:jc w:val="left"/>
        <w:rPr>
          <w:i/>
          <w:lang w:val="en-US" w:eastAsia="en-GB"/>
        </w:rPr>
      </w:pPr>
      <w:r w:rsidRPr="00774CC1">
        <w:rPr>
          <w:i/>
          <w:lang w:val="en-US" w:eastAsia="en-GB"/>
        </w:rPr>
        <w:t>“Evaluate and, if appropriate, specify new UE power class(</w:t>
      </w:r>
      <w:proofErr w:type="spellStart"/>
      <w:r w:rsidRPr="00774CC1">
        <w:rPr>
          <w:i/>
          <w:lang w:val="en-US" w:eastAsia="en-GB"/>
        </w:rPr>
        <w:t>es</w:t>
      </w:r>
      <w:proofErr w:type="spellEnd"/>
      <w:r w:rsidRPr="00774CC1">
        <w:rPr>
          <w:i/>
          <w:lang w:val="en-US" w:eastAsia="en-GB"/>
        </w:rPr>
        <w:t>) (e.g. 14dBm), and any necessary signaling support, to support lower maximum transmit power suitable for small form-factor batteries, with appropriate MCL relaxations compared to Rel-13 (RAN4, RAN2).”</w:t>
      </w:r>
    </w:p>
    <w:p w14:paraId="067222F4" w14:textId="77777777" w:rsidR="00774CC1" w:rsidRPr="00EA413C" w:rsidRDefault="00774CC1" w:rsidP="00774CC1">
      <w:pPr>
        <w:spacing w:after="180"/>
        <w:ind w:left="720"/>
        <w:contextualSpacing/>
        <w:jc w:val="left"/>
        <w:rPr>
          <w:bCs/>
          <w:lang w:val="en-US"/>
        </w:rPr>
      </w:pPr>
    </w:p>
    <w:p w14:paraId="5AAF1935" w14:textId="363D8AAD" w:rsidR="00E4131B" w:rsidRDefault="00BE12E5" w:rsidP="00761F8E">
      <w:pPr>
        <w:rPr>
          <w:lang w:val="en-US"/>
        </w:rPr>
      </w:pPr>
      <w:r>
        <w:rPr>
          <w:lang w:val="en-US"/>
        </w:rPr>
        <w:t>This implies almost</w:t>
      </w:r>
      <w:r w:rsidR="001A537E">
        <w:rPr>
          <w:lang w:val="en-US"/>
        </w:rPr>
        <w:t xml:space="preserve"> </w:t>
      </w:r>
      <w:r>
        <w:rPr>
          <w:lang w:val="en-US"/>
        </w:rPr>
        <w:t>an</w:t>
      </w:r>
      <w:r w:rsidR="001A537E">
        <w:rPr>
          <w:lang w:val="en-US"/>
        </w:rPr>
        <w:t xml:space="preserve"> order </w:t>
      </w:r>
      <w:r>
        <w:rPr>
          <w:lang w:val="en-US"/>
        </w:rPr>
        <w:t>of magnitude in difference between UEs with the lowest and highest power classes in the UL.</w:t>
      </w:r>
      <w:r w:rsidR="00FC31F6">
        <w:rPr>
          <w:lang w:val="en-US"/>
        </w:rPr>
        <w:t xml:space="preserve"> As the </w:t>
      </w:r>
      <w:proofErr w:type="spellStart"/>
      <w:r w:rsidR="00FC31F6">
        <w:rPr>
          <w:lang w:val="en-US"/>
        </w:rPr>
        <w:t>eNB</w:t>
      </w:r>
      <w:proofErr w:type="spellEnd"/>
      <w:r w:rsidR="00FC31F6">
        <w:rPr>
          <w:lang w:val="en-US"/>
        </w:rPr>
        <w:t xml:space="preserve"> does not </w:t>
      </w:r>
      <w:r w:rsidR="00113E35">
        <w:rPr>
          <w:lang w:val="en-US"/>
        </w:rPr>
        <w:t>k</w:t>
      </w:r>
      <w:r w:rsidR="00FC31F6">
        <w:rPr>
          <w:lang w:val="en-US"/>
        </w:rPr>
        <w:t xml:space="preserve">now the power class of the UE in the initial messages, this difference can </w:t>
      </w:r>
      <w:r w:rsidR="00331318">
        <w:rPr>
          <w:lang w:val="en-US"/>
        </w:rPr>
        <w:t xml:space="preserve">lead to </w:t>
      </w:r>
      <w:r w:rsidR="00C72A82">
        <w:rPr>
          <w:lang w:val="en-US"/>
        </w:rPr>
        <w:t xml:space="preserve">an </w:t>
      </w:r>
      <w:r w:rsidR="00331318">
        <w:rPr>
          <w:lang w:val="en-US"/>
        </w:rPr>
        <w:t xml:space="preserve">erroneous assumption </w:t>
      </w:r>
      <w:r w:rsidR="000F1F9F">
        <w:rPr>
          <w:lang w:val="en-US"/>
        </w:rPr>
        <w:t xml:space="preserve">when the </w:t>
      </w:r>
      <w:proofErr w:type="spellStart"/>
      <w:r w:rsidR="000F1F9F">
        <w:rPr>
          <w:lang w:val="en-US"/>
        </w:rPr>
        <w:t>eNB</w:t>
      </w:r>
      <w:proofErr w:type="spellEnd"/>
      <w:r w:rsidR="000F1F9F">
        <w:rPr>
          <w:lang w:val="en-US"/>
        </w:rPr>
        <w:t xml:space="preserve"> tries to estimate the UL path loss.</w:t>
      </w:r>
      <w:r w:rsidR="00C72A82">
        <w:rPr>
          <w:lang w:val="en-US"/>
        </w:rPr>
        <w:t xml:space="preserve"> This result</w:t>
      </w:r>
      <w:r w:rsidR="00D02328">
        <w:rPr>
          <w:lang w:val="en-US"/>
        </w:rPr>
        <w:t>s</w:t>
      </w:r>
      <w:r w:rsidR="00C72A82">
        <w:rPr>
          <w:lang w:val="en-US"/>
        </w:rPr>
        <w:t xml:space="preserve"> in that the initial link adaptation, e.g. the number of repetitions and/or the MCS used for Msg2/Msg3, </w:t>
      </w:r>
      <w:r w:rsidR="00D02328">
        <w:rPr>
          <w:lang w:val="en-US"/>
        </w:rPr>
        <w:t>could</w:t>
      </w:r>
      <w:r w:rsidR="00C72A82">
        <w:rPr>
          <w:lang w:val="en-US"/>
        </w:rPr>
        <w:t xml:space="preserve"> be wrong and unnecessary radio resources are wasted which reduces the system capacity</w:t>
      </w:r>
      <w:r w:rsidR="00D02328">
        <w:rPr>
          <w:lang w:val="en-US"/>
        </w:rPr>
        <w:t xml:space="preserve"> especially for access</w:t>
      </w:r>
      <w:r w:rsidR="00583FB1">
        <w:rPr>
          <w:lang w:val="en-US"/>
        </w:rPr>
        <w:t>es</w:t>
      </w:r>
      <w:r w:rsidR="00D02328">
        <w:rPr>
          <w:lang w:val="en-US"/>
        </w:rPr>
        <w:t xml:space="preserve"> from poor coverage UEs</w:t>
      </w:r>
      <w:r w:rsidR="00C72A82">
        <w:rPr>
          <w:lang w:val="en-US"/>
        </w:rPr>
        <w:t xml:space="preserve">. If the </w:t>
      </w:r>
      <w:proofErr w:type="spellStart"/>
      <w:r w:rsidR="00C72A82">
        <w:rPr>
          <w:lang w:val="en-US"/>
        </w:rPr>
        <w:t>eNB</w:t>
      </w:r>
      <w:proofErr w:type="spellEnd"/>
      <w:r w:rsidR="00C72A82">
        <w:rPr>
          <w:lang w:val="en-US"/>
        </w:rPr>
        <w:t xml:space="preserve"> </w:t>
      </w:r>
      <w:r w:rsidR="00D02328">
        <w:rPr>
          <w:lang w:val="en-US"/>
        </w:rPr>
        <w:t>w</w:t>
      </w:r>
      <w:r w:rsidR="00C72A82">
        <w:rPr>
          <w:lang w:val="en-US"/>
        </w:rPr>
        <w:t xml:space="preserve">ould know that </w:t>
      </w:r>
      <w:r w:rsidR="00B43287">
        <w:rPr>
          <w:lang w:val="en-US"/>
        </w:rPr>
        <w:t xml:space="preserve">an NPRACH access </w:t>
      </w:r>
      <w:r w:rsidR="00C72A82">
        <w:rPr>
          <w:lang w:val="en-US"/>
        </w:rPr>
        <w:t>originate</w:t>
      </w:r>
      <w:r w:rsidR="00B43287">
        <w:rPr>
          <w:lang w:val="en-US"/>
        </w:rPr>
        <w:t>s</w:t>
      </w:r>
      <w:r w:rsidR="00C72A82">
        <w:rPr>
          <w:lang w:val="en-US"/>
        </w:rPr>
        <w:t xml:space="preserve"> from </w:t>
      </w:r>
      <w:r w:rsidR="00B43287">
        <w:rPr>
          <w:lang w:val="en-US"/>
        </w:rPr>
        <w:t>a</w:t>
      </w:r>
      <w:r w:rsidR="00C72A82">
        <w:rPr>
          <w:lang w:val="en-US"/>
        </w:rPr>
        <w:t xml:space="preserve"> low power class UE</w:t>
      </w:r>
      <w:r w:rsidR="00B43287">
        <w:rPr>
          <w:lang w:val="en-US"/>
        </w:rPr>
        <w:t xml:space="preserve"> </w:t>
      </w:r>
      <w:r w:rsidR="00583FB1">
        <w:rPr>
          <w:lang w:val="en-US"/>
        </w:rPr>
        <w:t xml:space="preserve">the </w:t>
      </w:r>
      <w:proofErr w:type="spellStart"/>
      <w:r w:rsidR="00583FB1">
        <w:rPr>
          <w:lang w:val="en-US"/>
        </w:rPr>
        <w:t>eNB</w:t>
      </w:r>
      <w:proofErr w:type="spellEnd"/>
      <w:r w:rsidR="00B43287">
        <w:rPr>
          <w:lang w:val="en-US"/>
        </w:rPr>
        <w:t xml:space="preserve"> could thus perform a better link adaptation and improve the overall system capacity. </w:t>
      </w:r>
    </w:p>
    <w:p w14:paraId="5FF94B35" w14:textId="15B6DA39" w:rsidR="007E23C2" w:rsidRPr="00B50AE1" w:rsidRDefault="007E23C2" w:rsidP="007E23C2">
      <w:pPr>
        <w:pStyle w:val="Observation"/>
        <w:rPr>
          <w:rFonts w:ascii="Times New Roman" w:hAnsi="Times New Roman"/>
          <w:i/>
          <w:lang w:val="en-US" w:eastAsia="sv-SE"/>
        </w:rPr>
      </w:pPr>
      <w:bookmarkStart w:id="82" w:name="_Toc458454810"/>
      <w:bookmarkStart w:id="83" w:name="_Toc456189538"/>
      <w:bookmarkStart w:id="84" w:name="_Toc458443676"/>
      <w:bookmarkStart w:id="85" w:name="_Toc458467274"/>
      <w:bookmarkStart w:id="86" w:name="_Toc458601808"/>
      <w:r w:rsidRPr="00B50AE1">
        <w:rPr>
          <w:rFonts w:ascii="Times New Roman" w:hAnsi="Times New Roman"/>
          <w:i/>
          <w:lang w:val="en-US"/>
        </w:rPr>
        <w:t xml:space="preserve">With </w:t>
      </w:r>
      <w:r w:rsidR="00D02328" w:rsidRPr="00B50AE1">
        <w:rPr>
          <w:rFonts w:ascii="Times New Roman" w:hAnsi="Times New Roman"/>
          <w:i/>
          <w:lang w:val="en-US"/>
        </w:rPr>
        <w:t xml:space="preserve">the </w:t>
      </w:r>
      <w:r w:rsidRPr="00B50AE1">
        <w:rPr>
          <w:rFonts w:ascii="Times New Roman" w:hAnsi="Times New Roman"/>
          <w:i/>
          <w:lang w:val="en-US"/>
        </w:rPr>
        <w:t xml:space="preserve">introduction of </w:t>
      </w:r>
      <w:r w:rsidR="00D02328" w:rsidRPr="00B50AE1">
        <w:rPr>
          <w:rFonts w:ascii="Times New Roman" w:hAnsi="Times New Roman"/>
          <w:i/>
          <w:lang w:val="en-US"/>
        </w:rPr>
        <w:t xml:space="preserve">a </w:t>
      </w:r>
      <w:r w:rsidRPr="00B50AE1">
        <w:rPr>
          <w:rFonts w:ascii="Times New Roman" w:hAnsi="Times New Roman"/>
          <w:i/>
          <w:lang w:val="en-US"/>
        </w:rPr>
        <w:t xml:space="preserve">new </w:t>
      </w:r>
      <w:r w:rsidR="00D02328" w:rsidRPr="00B50AE1">
        <w:rPr>
          <w:rFonts w:ascii="Times New Roman" w:hAnsi="Times New Roman"/>
          <w:i/>
          <w:lang w:val="en-US"/>
        </w:rPr>
        <w:t xml:space="preserve">UE </w:t>
      </w:r>
      <w:r w:rsidRPr="00B50AE1">
        <w:rPr>
          <w:rFonts w:ascii="Times New Roman" w:hAnsi="Times New Roman"/>
          <w:i/>
          <w:lang w:val="en-US"/>
        </w:rPr>
        <w:t xml:space="preserve">power </w:t>
      </w:r>
      <w:r w:rsidR="00137CE9" w:rsidRPr="00B50AE1">
        <w:rPr>
          <w:rFonts w:ascii="Times New Roman" w:hAnsi="Times New Roman"/>
          <w:i/>
          <w:lang w:val="en-US"/>
        </w:rPr>
        <w:t>class</w:t>
      </w:r>
      <w:r w:rsidRPr="00B50AE1">
        <w:rPr>
          <w:rFonts w:ascii="Times New Roman" w:hAnsi="Times New Roman"/>
          <w:i/>
          <w:lang w:val="en-US"/>
        </w:rPr>
        <w:t xml:space="preserve"> (e.g. 14 </w:t>
      </w:r>
      <w:proofErr w:type="spellStart"/>
      <w:r w:rsidRPr="00B50AE1">
        <w:rPr>
          <w:rFonts w:ascii="Times New Roman" w:hAnsi="Times New Roman"/>
          <w:i/>
          <w:lang w:val="en-US"/>
        </w:rPr>
        <w:t>dBm</w:t>
      </w:r>
      <w:proofErr w:type="spellEnd"/>
      <w:r w:rsidRPr="00B50AE1">
        <w:rPr>
          <w:rFonts w:ascii="Times New Roman" w:hAnsi="Times New Roman"/>
          <w:i/>
          <w:lang w:val="en-US"/>
        </w:rPr>
        <w:t>)</w:t>
      </w:r>
      <w:r w:rsidR="00D02328" w:rsidRPr="00B50AE1">
        <w:rPr>
          <w:rFonts w:ascii="Times New Roman" w:hAnsi="Times New Roman"/>
          <w:i/>
          <w:lang w:val="en-US"/>
        </w:rPr>
        <w:t xml:space="preserve"> in Rel-14 a better link adaptation to improve the overall system capacity could be achieved in case the power class </w:t>
      </w:r>
      <w:r w:rsidR="00C745C3" w:rsidRPr="00B50AE1">
        <w:rPr>
          <w:rFonts w:ascii="Times New Roman" w:hAnsi="Times New Roman"/>
          <w:i/>
          <w:lang w:val="en-US"/>
        </w:rPr>
        <w:t xml:space="preserve">of </w:t>
      </w:r>
      <w:r w:rsidR="00583FB1" w:rsidRPr="00B50AE1">
        <w:rPr>
          <w:rFonts w:ascii="Times New Roman" w:hAnsi="Times New Roman"/>
          <w:i/>
          <w:lang w:val="en-US"/>
        </w:rPr>
        <w:t xml:space="preserve">the UE for </w:t>
      </w:r>
      <w:r w:rsidR="00C745C3" w:rsidRPr="00B50AE1">
        <w:rPr>
          <w:rFonts w:ascii="Times New Roman" w:hAnsi="Times New Roman"/>
          <w:i/>
          <w:lang w:val="en-US"/>
        </w:rPr>
        <w:t>an NPRACH access is known.</w:t>
      </w:r>
      <w:bookmarkEnd w:id="82"/>
      <w:bookmarkEnd w:id="83"/>
      <w:bookmarkEnd w:id="84"/>
      <w:bookmarkEnd w:id="85"/>
      <w:bookmarkEnd w:id="86"/>
    </w:p>
    <w:p w14:paraId="4909C2A6" w14:textId="19B0F3E8" w:rsidR="000F1F9F" w:rsidRDefault="00D02328" w:rsidP="000F1F9F">
      <w:pPr>
        <w:rPr>
          <w:lang w:val="en-US"/>
        </w:rPr>
      </w:pPr>
      <w:r>
        <w:rPr>
          <w:lang w:val="en-US"/>
        </w:rPr>
        <w:t xml:space="preserve">One way to achieve this could be to let </w:t>
      </w:r>
      <w:r w:rsidRPr="00B43287">
        <w:rPr>
          <w:lang w:val="en-US"/>
        </w:rPr>
        <w:t xml:space="preserve">low power class UEs </w:t>
      </w:r>
      <w:r>
        <w:rPr>
          <w:lang w:val="en-US"/>
        </w:rPr>
        <w:t>in poor coverage (e.g. only for CE-level 1 and 2) select</w:t>
      </w:r>
      <w:r w:rsidRPr="00B43287">
        <w:rPr>
          <w:lang w:val="en-US"/>
        </w:rPr>
        <w:t xml:space="preserve"> reserved </w:t>
      </w:r>
      <w:r>
        <w:rPr>
          <w:lang w:val="en-US"/>
        </w:rPr>
        <w:t xml:space="preserve">NPRACH </w:t>
      </w:r>
      <w:r w:rsidRPr="00B43287">
        <w:rPr>
          <w:lang w:val="en-US"/>
        </w:rPr>
        <w:t xml:space="preserve">resources, </w:t>
      </w:r>
      <w:r>
        <w:rPr>
          <w:lang w:val="en-US"/>
        </w:rPr>
        <w:t>e.g.</w:t>
      </w:r>
      <w:r w:rsidRPr="00B43287">
        <w:rPr>
          <w:lang w:val="en-US"/>
        </w:rPr>
        <w:t xml:space="preserve"> certain start </w:t>
      </w:r>
      <w:r w:rsidR="00C745C3">
        <w:rPr>
          <w:lang w:val="en-US"/>
        </w:rPr>
        <w:t>sub</w:t>
      </w:r>
      <w:r w:rsidRPr="00B43287">
        <w:rPr>
          <w:lang w:val="en-US"/>
        </w:rPr>
        <w:t xml:space="preserve">carriers from an NPRACH resource </w:t>
      </w:r>
      <w:r w:rsidR="00583FB1">
        <w:rPr>
          <w:lang w:val="en-US"/>
        </w:rPr>
        <w:t>and/</w:t>
      </w:r>
      <w:r w:rsidRPr="00B43287">
        <w:rPr>
          <w:lang w:val="en-US"/>
        </w:rPr>
        <w:t>or a separate NPRACH resource</w:t>
      </w:r>
      <w:r>
        <w:rPr>
          <w:lang w:val="en-US"/>
        </w:rPr>
        <w:t xml:space="preserve"> </w:t>
      </w:r>
      <w:r w:rsidRPr="00B43287">
        <w:rPr>
          <w:lang w:val="en-US"/>
        </w:rPr>
        <w:t xml:space="preserve">either </w:t>
      </w:r>
      <w:r w:rsidR="00C745C3">
        <w:rPr>
          <w:lang w:val="en-US"/>
        </w:rPr>
        <w:t>from</w:t>
      </w:r>
      <w:r w:rsidRPr="00B43287">
        <w:rPr>
          <w:lang w:val="en-US"/>
        </w:rPr>
        <w:t xml:space="preserve"> the anchor </w:t>
      </w:r>
      <w:r>
        <w:rPr>
          <w:lang w:val="en-US"/>
        </w:rPr>
        <w:t xml:space="preserve">carrier or </w:t>
      </w:r>
      <w:r w:rsidR="00C745C3">
        <w:rPr>
          <w:lang w:val="en-US"/>
        </w:rPr>
        <w:t>from a</w:t>
      </w:r>
      <w:r>
        <w:rPr>
          <w:lang w:val="en-US"/>
        </w:rPr>
        <w:t xml:space="preserve"> non-anchor </w:t>
      </w:r>
      <w:r w:rsidR="00C745C3">
        <w:rPr>
          <w:lang w:val="en-US"/>
        </w:rPr>
        <w:t>carrier</w:t>
      </w:r>
      <w:r w:rsidRPr="00B43287">
        <w:rPr>
          <w:lang w:val="en-US"/>
        </w:rPr>
        <w:t>.</w:t>
      </w:r>
    </w:p>
    <w:p w14:paraId="190F26AF" w14:textId="7F5B8E7D" w:rsidR="000F1F9F" w:rsidRDefault="00140D4E" w:rsidP="000F1F9F">
      <w:pPr>
        <w:rPr>
          <w:lang w:val="en-US"/>
        </w:rPr>
      </w:pPr>
      <w:r>
        <w:rPr>
          <w:lang w:val="en-US"/>
        </w:rPr>
        <w:t>In Rel-13</w:t>
      </w:r>
      <w:r w:rsidR="00C0476C">
        <w:rPr>
          <w:lang w:val="en-US"/>
        </w:rPr>
        <w:t>,</w:t>
      </w:r>
      <w:r>
        <w:rPr>
          <w:lang w:val="en-US"/>
        </w:rPr>
        <w:t xml:space="preserve"> it was agreed that</w:t>
      </w:r>
      <w:r w:rsidR="0058268A">
        <w:rPr>
          <w:lang w:val="en-US"/>
        </w:rPr>
        <w:t xml:space="preserve"> </w:t>
      </w:r>
      <w:r>
        <w:rPr>
          <w:lang w:val="en-US"/>
        </w:rPr>
        <w:t xml:space="preserve">a UE in connected mode </w:t>
      </w:r>
      <w:r w:rsidR="00865136">
        <w:rPr>
          <w:lang w:val="en-US"/>
        </w:rPr>
        <w:t xml:space="preserve">on a non-anchor carrier </w:t>
      </w:r>
      <w:r>
        <w:rPr>
          <w:lang w:val="en-US"/>
        </w:rPr>
        <w:t xml:space="preserve">in need of performing an RA procedure (due to SR or PDCCH order) goes back to </w:t>
      </w:r>
      <w:r w:rsidR="00865136">
        <w:rPr>
          <w:lang w:val="en-US"/>
        </w:rPr>
        <w:t xml:space="preserve">the </w:t>
      </w:r>
      <w:r>
        <w:rPr>
          <w:lang w:val="en-US"/>
        </w:rPr>
        <w:t xml:space="preserve">anchor carrier </w:t>
      </w:r>
      <w:r w:rsidR="00F67D0A">
        <w:rPr>
          <w:lang w:val="en-US"/>
        </w:rPr>
        <w:t xml:space="preserve">to </w:t>
      </w:r>
      <w:r w:rsidR="00865136">
        <w:rPr>
          <w:lang w:val="en-US"/>
        </w:rPr>
        <w:t xml:space="preserve">perform </w:t>
      </w:r>
      <w:r w:rsidR="00F67D0A">
        <w:rPr>
          <w:lang w:val="en-US"/>
        </w:rPr>
        <w:t xml:space="preserve">the </w:t>
      </w:r>
      <w:r w:rsidR="00865136">
        <w:rPr>
          <w:lang w:val="en-US"/>
        </w:rPr>
        <w:t xml:space="preserve">RA </w:t>
      </w:r>
      <w:r w:rsidR="00F67D0A">
        <w:rPr>
          <w:lang w:val="en-US"/>
        </w:rPr>
        <w:t>procedure.</w:t>
      </w:r>
      <w:r>
        <w:rPr>
          <w:lang w:val="en-US"/>
        </w:rPr>
        <w:t xml:space="preserve"> </w:t>
      </w:r>
    </w:p>
    <w:p w14:paraId="1A8EC4CB" w14:textId="1C7C483D" w:rsidR="00894A56" w:rsidRDefault="00A25BF3" w:rsidP="000F1F9F">
      <w:pPr>
        <w:rPr>
          <w:lang w:val="en-US"/>
        </w:rPr>
      </w:pPr>
      <w:r>
        <w:rPr>
          <w:lang w:val="en-US"/>
        </w:rPr>
        <w:t>For Rel-14, we propose that UE</w:t>
      </w:r>
      <w:r w:rsidR="00C64630">
        <w:rPr>
          <w:lang w:val="en-US"/>
        </w:rPr>
        <w:t>s in connected mode</w:t>
      </w:r>
      <w:r w:rsidR="006C6272">
        <w:rPr>
          <w:lang w:val="en-US"/>
        </w:rPr>
        <w:t xml:space="preserve">, unless explicitly configured to </w:t>
      </w:r>
      <w:r w:rsidR="002F537B">
        <w:rPr>
          <w:lang w:val="en-US"/>
        </w:rPr>
        <w:t xml:space="preserve">use </w:t>
      </w:r>
      <w:r w:rsidR="006C6272">
        <w:rPr>
          <w:lang w:val="en-US"/>
        </w:rPr>
        <w:t xml:space="preserve">specific </w:t>
      </w:r>
      <w:r w:rsidR="009B7A68">
        <w:rPr>
          <w:lang w:val="en-US"/>
        </w:rPr>
        <w:t xml:space="preserve">NPRACH </w:t>
      </w:r>
      <w:r w:rsidR="006C6272">
        <w:rPr>
          <w:lang w:val="en-US"/>
        </w:rPr>
        <w:t>resource,</w:t>
      </w:r>
      <w:r w:rsidR="00894A56">
        <w:rPr>
          <w:lang w:val="en-US"/>
        </w:rPr>
        <w:t xml:space="preserve"> choose</w:t>
      </w:r>
      <w:r>
        <w:rPr>
          <w:lang w:val="en-US"/>
        </w:rPr>
        <w:t xml:space="preserve"> the NPRACH resource (regardless if </w:t>
      </w:r>
      <w:r w:rsidR="00894A56">
        <w:rPr>
          <w:lang w:val="en-US"/>
        </w:rPr>
        <w:t xml:space="preserve">on </w:t>
      </w:r>
      <w:r>
        <w:rPr>
          <w:lang w:val="en-US"/>
        </w:rPr>
        <w:t>anchor or non-anchor carrier</w:t>
      </w:r>
      <w:r w:rsidR="00894A56">
        <w:rPr>
          <w:lang w:val="en-US"/>
        </w:rPr>
        <w:t>s</w:t>
      </w:r>
      <w:r>
        <w:rPr>
          <w:lang w:val="en-US"/>
        </w:rPr>
        <w:t xml:space="preserve">) for performing </w:t>
      </w:r>
      <w:r w:rsidR="00894A56">
        <w:rPr>
          <w:lang w:val="en-US"/>
        </w:rPr>
        <w:t>their</w:t>
      </w:r>
      <w:r>
        <w:rPr>
          <w:lang w:val="en-US"/>
        </w:rPr>
        <w:t xml:space="preserve"> </w:t>
      </w:r>
      <w:r w:rsidR="00894A56">
        <w:rPr>
          <w:lang w:val="en-US"/>
        </w:rPr>
        <w:t xml:space="preserve">RA procedure </w:t>
      </w:r>
      <w:r w:rsidR="00F67D0A">
        <w:rPr>
          <w:lang w:val="en-US"/>
        </w:rPr>
        <w:t xml:space="preserve">in </w:t>
      </w:r>
      <w:r w:rsidR="00894A56">
        <w:rPr>
          <w:lang w:val="en-US"/>
        </w:rPr>
        <w:t>the same way as chose</w:t>
      </w:r>
      <w:r w:rsidR="00F67D0A">
        <w:rPr>
          <w:lang w:val="en-US"/>
        </w:rPr>
        <w:t>n</w:t>
      </w:r>
      <w:r>
        <w:rPr>
          <w:lang w:val="en-US"/>
        </w:rPr>
        <w:t xml:space="preserve"> in </w:t>
      </w:r>
      <w:r w:rsidR="00F67D0A">
        <w:rPr>
          <w:lang w:val="en-US"/>
        </w:rPr>
        <w:t>idle mode</w:t>
      </w:r>
      <w:r>
        <w:rPr>
          <w:lang w:val="en-US"/>
        </w:rPr>
        <w:t xml:space="preserve"> as described </w:t>
      </w:r>
      <w:r w:rsidR="00F67D0A">
        <w:rPr>
          <w:lang w:val="en-US"/>
        </w:rPr>
        <w:t>above</w:t>
      </w:r>
      <w:r w:rsidR="00894A56">
        <w:rPr>
          <w:lang w:val="en-US"/>
        </w:rPr>
        <w:t>.</w:t>
      </w:r>
      <w:r>
        <w:rPr>
          <w:lang w:val="en-US"/>
        </w:rPr>
        <w:t xml:space="preserve"> </w:t>
      </w:r>
      <w:r w:rsidR="00894A56">
        <w:rPr>
          <w:lang w:val="en-US"/>
        </w:rPr>
        <w:t xml:space="preserve">These resources were after all the most suitable when chosen in </w:t>
      </w:r>
      <w:r w:rsidR="00F67D0A">
        <w:rPr>
          <w:lang w:val="en-US"/>
        </w:rPr>
        <w:t>i</w:t>
      </w:r>
      <w:r w:rsidR="00894A56">
        <w:rPr>
          <w:lang w:val="en-US"/>
        </w:rPr>
        <w:t xml:space="preserve">dle </w:t>
      </w:r>
      <w:r w:rsidR="00F67D0A">
        <w:rPr>
          <w:lang w:val="en-US"/>
        </w:rPr>
        <w:t>mode</w:t>
      </w:r>
      <w:r w:rsidR="00894A56">
        <w:rPr>
          <w:lang w:val="en-US"/>
        </w:rPr>
        <w:t xml:space="preserve"> based on NW configurations</w:t>
      </w:r>
      <w:r w:rsidR="00F67D0A">
        <w:rPr>
          <w:lang w:val="en-US"/>
        </w:rPr>
        <w:t xml:space="preserve"> and not all non-anchor carriers will</w:t>
      </w:r>
      <w:r w:rsidR="002F537B">
        <w:rPr>
          <w:lang w:val="en-US"/>
        </w:rPr>
        <w:t xml:space="preserve"> have allocated NPRACH resources</w:t>
      </w:r>
      <w:r w:rsidR="00F74E86">
        <w:rPr>
          <w:lang w:val="en-US"/>
        </w:rPr>
        <w:t xml:space="preserve"> allocated</w:t>
      </w:r>
      <w:r w:rsidR="00894A56">
        <w:rPr>
          <w:lang w:val="en-US"/>
        </w:rPr>
        <w:t>.</w:t>
      </w:r>
      <w:r w:rsidR="00A80E92">
        <w:rPr>
          <w:lang w:val="en-US"/>
        </w:rPr>
        <w:t xml:space="preserve"> </w:t>
      </w:r>
      <w:r w:rsidR="002F537B">
        <w:rPr>
          <w:lang w:val="en-US"/>
        </w:rPr>
        <w:t>Then</w:t>
      </w:r>
      <w:r w:rsidR="00A80E92">
        <w:rPr>
          <w:lang w:val="en-US"/>
        </w:rPr>
        <w:t>, just a</w:t>
      </w:r>
      <w:r w:rsidR="00A80E92" w:rsidRPr="00A80E92">
        <w:rPr>
          <w:lang w:val="en-US"/>
        </w:rPr>
        <w:t>s in Rel-13</w:t>
      </w:r>
      <w:r w:rsidR="00A80E92">
        <w:rPr>
          <w:lang w:val="en-US"/>
        </w:rPr>
        <w:t>,</w:t>
      </w:r>
      <w:r w:rsidR="00A80E92" w:rsidRPr="00A80E92">
        <w:rPr>
          <w:lang w:val="en-US"/>
        </w:rPr>
        <w:t xml:space="preserve"> the UE </w:t>
      </w:r>
      <w:r w:rsidR="002F537B">
        <w:rPr>
          <w:lang w:val="en-US"/>
        </w:rPr>
        <w:t xml:space="preserve">should </w:t>
      </w:r>
      <w:r w:rsidR="00A80E92" w:rsidRPr="00A80E92">
        <w:rPr>
          <w:lang w:val="en-US"/>
        </w:rPr>
        <w:t xml:space="preserve">return to the previous </w:t>
      </w:r>
      <w:r w:rsidR="002F537B">
        <w:rPr>
          <w:lang w:val="en-US"/>
        </w:rPr>
        <w:t xml:space="preserve">used UL/DL </w:t>
      </w:r>
      <w:r w:rsidR="00A80E92" w:rsidRPr="00A80E92">
        <w:rPr>
          <w:lang w:val="en-US"/>
        </w:rPr>
        <w:t>carrier</w:t>
      </w:r>
      <w:r w:rsidR="002F537B">
        <w:rPr>
          <w:lang w:val="en-US"/>
        </w:rPr>
        <w:t>s</w:t>
      </w:r>
      <w:r w:rsidR="00A80E92" w:rsidRPr="00A80E92">
        <w:rPr>
          <w:lang w:val="en-US"/>
        </w:rPr>
        <w:t xml:space="preserve"> after</w:t>
      </w:r>
      <w:r w:rsidR="00A80E92">
        <w:rPr>
          <w:lang w:val="en-US"/>
        </w:rPr>
        <w:t xml:space="preserve"> contention resolution unless ex</w:t>
      </w:r>
      <w:r w:rsidR="00A80E92" w:rsidRPr="00A80E92">
        <w:rPr>
          <w:lang w:val="en-US"/>
        </w:rPr>
        <w:t>plicitly configured not to do so.</w:t>
      </w:r>
      <w:r w:rsidR="00351F1F">
        <w:rPr>
          <w:lang w:val="en-US"/>
        </w:rPr>
        <w:t xml:space="preserve"> Further, we believe that it should be possible </w:t>
      </w:r>
      <w:r w:rsidR="00B20B0D">
        <w:rPr>
          <w:lang w:val="en-US"/>
        </w:rPr>
        <w:t xml:space="preserve">for an operator </w:t>
      </w:r>
      <w:r w:rsidR="00351F1F">
        <w:rPr>
          <w:lang w:val="en-US"/>
        </w:rPr>
        <w:t>to</w:t>
      </w:r>
      <w:r w:rsidR="00B20B0D">
        <w:rPr>
          <w:lang w:val="en-US"/>
        </w:rPr>
        <w:t xml:space="preserve"> explicitly </w:t>
      </w:r>
      <w:r w:rsidR="00F74E86">
        <w:rPr>
          <w:lang w:val="en-US"/>
        </w:rPr>
        <w:t xml:space="preserve">signal to </w:t>
      </w:r>
      <w:r w:rsidR="00351F1F">
        <w:rPr>
          <w:lang w:val="en-US"/>
        </w:rPr>
        <w:t xml:space="preserve">the UE to </w:t>
      </w:r>
      <w:r w:rsidR="002F537B">
        <w:rPr>
          <w:lang w:val="en-US"/>
        </w:rPr>
        <w:t xml:space="preserve">perform the RA on </w:t>
      </w:r>
      <w:r w:rsidR="00351F1F">
        <w:rPr>
          <w:lang w:val="en-US"/>
        </w:rPr>
        <w:t xml:space="preserve">a specific NPRACH resource </w:t>
      </w:r>
      <w:r w:rsidR="002F537B">
        <w:rPr>
          <w:lang w:val="en-US"/>
        </w:rPr>
        <w:t>by a</w:t>
      </w:r>
      <w:r w:rsidR="00351F1F">
        <w:rPr>
          <w:lang w:val="en-US"/>
        </w:rPr>
        <w:t xml:space="preserve"> PDCCH order.</w:t>
      </w:r>
      <w:r w:rsidR="00B20B0D">
        <w:rPr>
          <w:lang w:val="en-US"/>
        </w:rPr>
        <w:t xml:space="preserve"> </w:t>
      </w:r>
      <w:r w:rsidR="002F537B">
        <w:rPr>
          <w:lang w:val="en-US"/>
        </w:rPr>
        <w:t xml:space="preserve">When the non-anchor NPRACH is indicated as part of the PDCCH order the configuration from SIB2-NB should be used. </w:t>
      </w:r>
    </w:p>
    <w:p w14:paraId="61C31AAD" w14:textId="5D4B4CBE" w:rsidR="00004E7E" w:rsidRPr="00B50AE1" w:rsidRDefault="00004E7E" w:rsidP="00004E7E">
      <w:pPr>
        <w:pStyle w:val="Proposal"/>
        <w:tabs>
          <w:tab w:val="clear" w:pos="1871"/>
          <w:tab w:val="num" w:pos="1304"/>
        </w:tabs>
        <w:ind w:left="1304"/>
        <w:rPr>
          <w:rFonts w:ascii="Times New Roman" w:hAnsi="Times New Roman"/>
          <w:i/>
          <w:lang w:val="en-US"/>
        </w:rPr>
      </w:pPr>
      <w:bookmarkStart w:id="87" w:name="_Toc456177136"/>
      <w:bookmarkStart w:id="88" w:name="_Toc456189556"/>
      <w:bookmarkStart w:id="89" w:name="_Toc458443694"/>
      <w:bookmarkStart w:id="90" w:name="_Toc458454807"/>
      <w:bookmarkStart w:id="91" w:name="_Toc458464844"/>
      <w:bookmarkStart w:id="92" w:name="_Toc458467271"/>
      <w:bookmarkStart w:id="93" w:name="_Toc458601818"/>
      <w:r w:rsidRPr="00B50AE1">
        <w:rPr>
          <w:rFonts w:ascii="Times New Roman" w:hAnsi="Times New Roman"/>
          <w:i/>
          <w:lang w:val="en-US"/>
        </w:rPr>
        <w:t xml:space="preserve">UEs in connected mode, unless explicitly configured to </w:t>
      </w:r>
      <w:r w:rsidR="00F74E86" w:rsidRPr="00B50AE1">
        <w:rPr>
          <w:rFonts w:ascii="Times New Roman" w:hAnsi="Times New Roman"/>
          <w:i/>
          <w:lang w:val="en-US"/>
        </w:rPr>
        <w:t xml:space="preserve">use </w:t>
      </w:r>
      <w:r w:rsidR="002F537B" w:rsidRPr="00B50AE1">
        <w:rPr>
          <w:rFonts w:ascii="Times New Roman" w:hAnsi="Times New Roman"/>
          <w:i/>
          <w:lang w:val="en-US"/>
        </w:rPr>
        <w:t xml:space="preserve">a </w:t>
      </w:r>
      <w:r w:rsidRPr="00B50AE1">
        <w:rPr>
          <w:rFonts w:ascii="Times New Roman" w:hAnsi="Times New Roman"/>
          <w:i/>
          <w:lang w:val="en-US"/>
        </w:rPr>
        <w:t xml:space="preserve">specific </w:t>
      </w:r>
      <w:r w:rsidR="003E2F58" w:rsidRPr="00B50AE1">
        <w:rPr>
          <w:rFonts w:ascii="Times New Roman" w:hAnsi="Times New Roman"/>
          <w:i/>
          <w:lang w:val="en-US"/>
        </w:rPr>
        <w:t xml:space="preserve">NPRACH </w:t>
      </w:r>
      <w:r w:rsidRPr="00B50AE1">
        <w:rPr>
          <w:rFonts w:ascii="Times New Roman" w:hAnsi="Times New Roman"/>
          <w:i/>
          <w:lang w:val="en-US"/>
        </w:rPr>
        <w:t xml:space="preserve">resources, choose the NPRACH resource </w:t>
      </w:r>
      <w:r w:rsidR="00F74E86" w:rsidRPr="00B50AE1">
        <w:rPr>
          <w:rFonts w:ascii="Times New Roman" w:hAnsi="Times New Roman"/>
          <w:i/>
          <w:lang w:val="en-US"/>
        </w:rPr>
        <w:t xml:space="preserve">in </w:t>
      </w:r>
      <w:r w:rsidRPr="00B50AE1">
        <w:rPr>
          <w:rFonts w:ascii="Times New Roman" w:hAnsi="Times New Roman"/>
          <w:i/>
          <w:lang w:val="en-US"/>
        </w:rPr>
        <w:t>the same wa</w:t>
      </w:r>
      <w:r w:rsidR="003E2F58" w:rsidRPr="00B50AE1">
        <w:rPr>
          <w:rFonts w:ascii="Times New Roman" w:hAnsi="Times New Roman"/>
          <w:i/>
          <w:lang w:val="en-US"/>
        </w:rPr>
        <w:t xml:space="preserve">y as in </w:t>
      </w:r>
      <w:r w:rsidR="00F74E86" w:rsidRPr="00B50AE1">
        <w:rPr>
          <w:rFonts w:ascii="Times New Roman" w:hAnsi="Times New Roman"/>
          <w:i/>
          <w:lang w:val="en-US"/>
        </w:rPr>
        <w:t xml:space="preserve">idle </w:t>
      </w:r>
      <w:r w:rsidRPr="00B50AE1">
        <w:rPr>
          <w:rFonts w:ascii="Times New Roman" w:hAnsi="Times New Roman"/>
          <w:i/>
          <w:lang w:val="en-US"/>
        </w:rPr>
        <w:t>mode.</w:t>
      </w:r>
      <w:r w:rsidR="00C53B0A" w:rsidRPr="00B50AE1">
        <w:rPr>
          <w:rFonts w:ascii="Times New Roman" w:hAnsi="Times New Roman"/>
          <w:i/>
          <w:lang w:val="en-US"/>
        </w:rPr>
        <w:t xml:space="preserve"> As in Rel-13 the UE return to the previous carrier after contention resolution</w:t>
      </w:r>
      <w:r w:rsidR="00A80E92" w:rsidRPr="00B50AE1">
        <w:rPr>
          <w:rFonts w:ascii="Times New Roman" w:hAnsi="Times New Roman"/>
          <w:i/>
          <w:lang w:val="en-US"/>
        </w:rPr>
        <w:t xml:space="preserve"> unless ex</w:t>
      </w:r>
      <w:r w:rsidR="00C53B0A" w:rsidRPr="00B50AE1">
        <w:rPr>
          <w:rFonts w:ascii="Times New Roman" w:hAnsi="Times New Roman"/>
          <w:i/>
          <w:lang w:val="en-US"/>
        </w:rPr>
        <w:t>plicitly configured not to do so.</w:t>
      </w:r>
      <w:bookmarkEnd w:id="87"/>
      <w:bookmarkEnd w:id="88"/>
      <w:bookmarkEnd w:id="89"/>
      <w:bookmarkEnd w:id="90"/>
      <w:bookmarkEnd w:id="91"/>
      <w:bookmarkEnd w:id="92"/>
      <w:bookmarkEnd w:id="93"/>
    </w:p>
    <w:p w14:paraId="4A6AF1E1" w14:textId="4CF2107D" w:rsidR="00422B0E" w:rsidRPr="00B50AE1" w:rsidRDefault="00422B0E" w:rsidP="00004E7E">
      <w:pPr>
        <w:pStyle w:val="Proposal"/>
        <w:tabs>
          <w:tab w:val="clear" w:pos="1871"/>
          <w:tab w:val="num" w:pos="1304"/>
        </w:tabs>
        <w:ind w:left="1304"/>
        <w:rPr>
          <w:rFonts w:ascii="Times New Roman" w:hAnsi="Times New Roman"/>
          <w:i/>
          <w:lang w:val="en-US"/>
        </w:rPr>
      </w:pPr>
      <w:bookmarkStart w:id="94" w:name="_Toc456177137"/>
      <w:bookmarkStart w:id="95" w:name="_Toc456189557"/>
      <w:bookmarkStart w:id="96" w:name="_Toc458443695"/>
      <w:bookmarkStart w:id="97" w:name="_Toc458454808"/>
      <w:bookmarkStart w:id="98" w:name="_Toc458464845"/>
      <w:bookmarkStart w:id="99" w:name="_Toc458467272"/>
      <w:bookmarkStart w:id="100" w:name="_Toc458601819"/>
      <w:r w:rsidRPr="00B50AE1">
        <w:rPr>
          <w:rFonts w:ascii="Times New Roman" w:hAnsi="Times New Roman"/>
          <w:i/>
          <w:lang w:val="en-US"/>
        </w:rPr>
        <w:t>Introduce a new DCI f</w:t>
      </w:r>
      <w:r w:rsidR="003E2F58" w:rsidRPr="00B50AE1">
        <w:rPr>
          <w:rFonts w:ascii="Times New Roman" w:hAnsi="Times New Roman"/>
          <w:i/>
          <w:lang w:val="en-US"/>
        </w:rPr>
        <w:t>ormat for PDCCH order which</w:t>
      </w:r>
      <w:r w:rsidRPr="00B50AE1">
        <w:rPr>
          <w:rFonts w:ascii="Times New Roman" w:hAnsi="Times New Roman"/>
          <w:i/>
          <w:lang w:val="en-US"/>
        </w:rPr>
        <w:t xml:space="preserve"> can explicitly point out an NPRACH resource configuration </w:t>
      </w:r>
      <w:r w:rsidR="00F74E86" w:rsidRPr="00B50AE1">
        <w:rPr>
          <w:rFonts w:ascii="Times New Roman" w:hAnsi="Times New Roman"/>
          <w:i/>
          <w:lang w:val="en-US"/>
        </w:rPr>
        <w:t xml:space="preserve">on any UL carrier </w:t>
      </w:r>
      <w:r w:rsidRPr="00B50AE1">
        <w:rPr>
          <w:rFonts w:ascii="Times New Roman" w:hAnsi="Times New Roman"/>
          <w:i/>
          <w:lang w:val="en-US"/>
        </w:rPr>
        <w:t>broadcast</w:t>
      </w:r>
      <w:r w:rsidR="00F74E86" w:rsidRPr="00B50AE1">
        <w:rPr>
          <w:rFonts w:ascii="Times New Roman" w:hAnsi="Times New Roman"/>
          <w:i/>
          <w:lang w:val="en-US"/>
        </w:rPr>
        <w:t>ed</w:t>
      </w:r>
      <w:r w:rsidRPr="00B50AE1">
        <w:rPr>
          <w:rFonts w:ascii="Times New Roman" w:hAnsi="Times New Roman"/>
          <w:i/>
          <w:lang w:val="en-US"/>
        </w:rPr>
        <w:t xml:space="preserve"> </w:t>
      </w:r>
      <w:r w:rsidR="00F74E86" w:rsidRPr="00B50AE1">
        <w:rPr>
          <w:rFonts w:ascii="Times New Roman" w:hAnsi="Times New Roman"/>
          <w:i/>
          <w:lang w:val="en-US"/>
        </w:rPr>
        <w:t xml:space="preserve">on </w:t>
      </w:r>
      <w:r w:rsidRPr="00B50AE1">
        <w:rPr>
          <w:rFonts w:ascii="Times New Roman" w:hAnsi="Times New Roman"/>
          <w:i/>
          <w:lang w:val="en-US"/>
        </w:rPr>
        <w:t xml:space="preserve">SI. If the PDCCH order explicitly points out an NPRACH resource, the </w:t>
      </w:r>
      <w:r w:rsidR="003E2F58" w:rsidRPr="00B50AE1">
        <w:rPr>
          <w:rFonts w:ascii="Times New Roman" w:hAnsi="Times New Roman"/>
          <w:i/>
          <w:lang w:val="en-US"/>
        </w:rPr>
        <w:t xml:space="preserve">UE </w:t>
      </w:r>
      <w:r w:rsidR="00F74E86" w:rsidRPr="00B50AE1">
        <w:rPr>
          <w:rFonts w:ascii="Times New Roman" w:hAnsi="Times New Roman"/>
          <w:i/>
          <w:lang w:val="en-US"/>
        </w:rPr>
        <w:t>shall use</w:t>
      </w:r>
      <w:r w:rsidR="003E2F58" w:rsidRPr="00B50AE1">
        <w:rPr>
          <w:rFonts w:ascii="Times New Roman" w:hAnsi="Times New Roman"/>
          <w:i/>
          <w:lang w:val="en-US"/>
        </w:rPr>
        <w:t xml:space="preserve"> that one, otherwise </w:t>
      </w:r>
      <w:r w:rsidR="00F74E86" w:rsidRPr="00B50AE1">
        <w:rPr>
          <w:rFonts w:ascii="Times New Roman" w:hAnsi="Times New Roman"/>
          <w:i/>
          <w:lang w:val="en-US"/>
        </w:rPr>
        <w:t xml:space="preserve">the idle </w:t>
      </w:r>
      <w:r w:rsidRPr="00B50AE1">
        <w:rPr>
          <w:rFonts w:ascii="Times New Roman" w:hAnsi="Times New Roman"/>
          <w:i/>
          <w:lang w:val="en-US"/>
        </w:rPr>
        <w:t xml:space="preserve">mode </w:t>
      </w:r>
      <w:r w:rsidR="003E2F58" w:rsidRPr="00B50AE1">
        <w:rPr>
          <w:rFonts w:ascii="Times New Roman" w:hAnsi="Times New Roman"/>
          <w:i/>
          <w:lang w:val="en-US"/>
        </w:rPr>
        <w:t xml:space="preserve">NPRACH </w:t>
      </w:r>
      <w:r w:rsidRPr="00B50AE1">
        <w:rPr>
          <w:rFonts w:ascii="Times New Roman" w:hAnsi="Times New Roman"/>
          <w:i/>
          <w:lang w:val="en-US"/>
        </w:rPr>
        <w:t>resource selection is performed by the UE.</w:t>
      </w:r>
      <w:bookmarkEnd w:id="94"/>
      <w:bookmarkEnd w:id="95"/>
      <w:bookmarkEnd w:id="96"/>
      <w:bookmarkEnd w:id="97"/>
      <w:bookmarkEnd w:id="98"/>
      <w:bookmarkEnd w:id="99"/>
      <w:bookmarkEnd w:id="100"/>
    </w:p>
    <w:bookmarkEnd w:id="2"/>
    <w:bookmarkEnd w:id="3"/>
    <w:bookmarkEnd w:id="4"/>
    <w:bookmarkEnd w:id="5"/>
    <w:bookmarkEnd w:id="6"/>
    <w:p w14:paraId="78B6FAA5" w14:textId="33BA9E89" w:rsidR="00F65231" w:rsidRPr="00F65231" w:rsidRDefault="00F65231" w:rsidP="00DF3BDD">
      <w:pPr>
        <w:rPr>
          <w:rFonts w:ascii="Courier New" w:hAnsi="Courier New" w:cs="Courier New"/>
          <w:sz w:val="16"/>
          <w:lang w:val="en-US"/>
        </w:rPr>
      </w:pPr>
    </w:p>
    <w:p w14:paraId="2DF52702" w14:textId="77777777" w:rsidR="00DF3BDD" w:rsidRPr="002D264C" w:rsidRDefault="00DF3BDD" w:rsidP="00DF3BDD">
      <w:pPr>
        <w:pStyle w:val="Heading1"/>
        <w:rPr>
          <w:lang w:val="en-US"/>
        </w:rPr>
      </w:pPr>
      <w:r w:rsidRPr="002D264C">
        <w:rPr>
          <w:lang w:val="en-US"/>
        </w:rPr>
        <w:t>Conclusion</w:t>
      </w:r>
    </w:p>
    <w:p w14:paraId="6EDC06BD" w14:textId="60E09F11" w:rsidR="00156E70" w:rsidRDefault="00CC2E8D" w:rsidP="002B1F3D">
      <w:pPr>
        <w:pStyle w:val="BodyText"/>
        <w:rPr>
          <w:lang w:val="en-US"/>
        </w:rPr>
      </w:pPr>
      <w:r>
        <w:rPr>
          <w:lang w:val="en-US"/>
        </w:rPr>
        <w:t>Based on the discussions, we have the following observations and proposals regarding random access on non-anchor carrier.</w:t>
      </w:r>
    </w:p>
    <w:p w14:paraId="3D21F175" w14:textId="1A8A99F7" w:rsidR="00CC2E8D" w:rsidRPr="00CC2E8D" w:rsidRDefault="00CC2E8D" w:rsidP="00CC2E8D">
      <w:pPr>
        <w:pStyle w:val="Observation"/>
        <w:numPr>
          <w:ilvl w:val="0"/>
          <w:numId w:val="20"/>
        </w:numPr>
        <w:ind w:left="1701" w:hanging="1701"/>
        <w:rPr>
          <w:rFonts w:ascii="Times New Roman" w:hAnsi="Times New Roman"/>
          <w:i/>
          <w:lang w:val="en-US" w:eastAsia="sv-SE"/>
        </w:rPr>
      </w:pPr>
      <w:r w:rsidRPr="00CC2E8D">
        <w:rPr>
          <w:rFonts w:ascii="Times New Roman" w:hAnsi="Times New Roman"/>
          <w:i/>
          <w:lang w:val="en-US" w:eastAsia="sv-SE"/>
        </w:rPr>
        <w:t xml:space="preserve">There is no RAN1 impacts to provide the RA-related configuration for anchor and non-anchor carrier(s) to UEs via broadcasted system information. </w:t>
      </w:r>
    </w:p>
    <w:p w14:paraId="6EACBAAA" w14:textId="77777777" w:rsidR="00CC2E8D" w:rsidRPr="00B3177D" w:rsidRDefault="00CC2E8D" w:rsidP="00CC2E8D">
      <w:pPr>
        <w:rPr>
          <w:rFonts w:ascii="Times New Roman" w:hAnsi="Times New Roman"/>
          <w:i/>
          <w:lang w:val="en-US"/>
        </w:rPr>
      </w:pPr>
    </w:p>
    <w:p w14:paraId="73820271" w14:textId="77777777" w:rsidR="00CC2E8D" w:rsidRPr="00B3177D" w:rsidRDefault="00CC2E8D" w:rsidP="00CC2E8D">
      <w:pPr>
        <w:pStyle w:val="Observation"/>
        <w:rPr>
          <w:rFonts w:ascii="Times New Roman" w:hAnsi="Times New Roman"/>
          <w:i/>
          <w:lang w:val="en-US" w:eastAsia="sv-SE"/>
        </w:rPr>
      </w:pPr>
      <w:r w:rsidRPr="00B3177D">
        <w:rPr>
          <w:rFonts w:ascii="Times New Roman" w:hAnsi="Times New Roman"/>
          <w:i/>
          <w:lang w:val="en-US"/>
        </w:rPr>
        <w:lastRenderedPageBreak/>
        <w:t>All NB-</w:t>
      </w:r>
      <w:proofErr w:type="spellStart"/>
      <w:r w:rsidRPr="00B3177D">
        <w:rPr>
          <w:rFonts w:ascii="Times New Roman" w:hAnsi="Times New Roman"/>
          <w:i/>
          <w:lang w:val="en-US"/>
        </w:rPr>
        <w:t>IoT</w:t>
      </w:r>
      <w:proofErr w:type="spellEnd"/>
      <w:r w:rsidRPr="00B3177D">
        <w:rPr>
          <w:rFonts w:ascii="Times New Roman" w:hAnsi="Times New Roman"/>
          <w:i/>
          <w:lang w:val="en-US"/>
        </w:rPr>
        <w:t xml:space="preserve"> Rel-13 UEs in a cell will carry out their RA procedure on the anchor carrier.</w:t>
      </w:r>
    </w:p>
    <w:p w14:paraId="75204833" w14:textId="77777777" w:rsidR="00CC2E8D" w:rsidRPr="00B50AE1" w:rsidRDefault="00CC2E8D" w:rsidP="00CC2E8D">
      <w:pPr>
        <w:pStyle w:val="Observation"/>
        <w:rPr>
          <w:rFonts w:ascii="Times New Roman" w:hAnsi="Times New Roman"/>
          <w:i/>
          <w:lang w:val="en-US" w:eastAsia="sv-SE"/>
        </w:rPr>
      </w:pPr>
      <w:r w:rsidRPr="00B50AE1">
        <w:rPr>
          <w:rFonts w:ascii="Times New Roman" w:hAnsi="Times New Roman"/>
          <w:i/>
          <w:lang w:val="en-US"/>
        </w:rPr>
        <w:t xml:space="preserve">With the introduction of a new UE power class (e.g. 14 </w:t>
      </w:r>
      <w:proofErr w:type="spellStart"/>
      <w:r w:rsidRPr="00B50AE1">
        <w:rPr>
          <w:rFonts w:ascii="Times New Roman" w:hAnsi="Times New Roman"/>
          <w:i/>
          <w:lang w:val="en-US"/>
        </w:rPr>
        <w:t>dBm</w:t>
      </w:r>
      <w:proofErr w:type="spellEnd"/>
      <w:r w:rsidRPr="00B50AE1">
        <w:rPr>
          <w:rFonts w:ascii="Times New Roman" w:hAnsi="Times New Roman"/>
          <w:i/>
          <w:lang w:val="en-US"/>
        </w:rPr>
        <w:t>) in Rel-14 a better link adaptation to improve the overall system capacity could be achieved in case the power class of the UE for an NPRACH access is known.</w:t>
      </w:r>
    </w:p>
    <w:p w14:paraId="6B3CE2C6" w14:textId="77777777" w:rsidR="00CC2E8D" w:rsidRPr="00CC2E8D" w:rsidRDefault="00CC2E8D" w:rsidP="00CC2E8D">
      <w:pPr>
        <w:pStyle w:val="Proposal"/>
        <w:numPr>
          <w:ilvl w:val="0"/>
          <w:numId w:val="19"/>
        </w:numPr>
        <w:tabs>
          <w:tab w:val="clear" w:pos="1701"/>
          <w:tab w:val="clear" w:pos="1871"/>
          <w:tab w:val="left" w:pos="1276"/>
        </w:tabs>
        <w:ind w:left="1560" w:hanging="1560"/>
        <w:rPr>
          <w:rFonts w:ascii="Times New Roman" w:hAnsi="Times New Roman"/>
          <w:i/>
          <w:lang w:val="en-US"/>
        </w:rPr>
      </w:pPr>
      <w:r w:rsidRPr="00CC2E8D">
        <w:rPr>
          <w:rFonts w:ascii="Times New Roman" w:hAnsi="Times New Roman"/>
          <w:i/>
          <w:lang w:val="en-US"/>
        </w:rPr>
        <w:t>Rel-14 NB-</w:t>
      </w:r>
      <w:proofErr w:type="spellStart"/>
      <w:r w:rsidRPr="00CC2E8D">
        <w:rPr>
          <w:rFonts w:ascii="Times New Roman" w:hAnsi="Times New Roman"/>
          <w:i/>
          <w:lang w:val="en-US"/>
        </w:rPr>
        <w:t>IoT</w:t>
      </w:r>
      <w:proofErr w:type="spellEnd"/>
      <w:r w:rsidRPr="00CC2E8D">
        <w:rPr>
          <w:rFonts w:ascii="Times New Roman" w:hAnsi="Times New Roman"/>
          <w:i/>
          <w:lang w:val="en-US"/>
        </w:rPr>
        <w:t xml:space="preserve"> UEs shall be able to perform the RA procedure (including Msg1/Msg2/Msg3/Msg4) both on anchor and non-anchor carrier(s).</w:t>
      </w:r>
    </w:p>
    <w:p w14:paraId="19D4A671" w14:textId="77777777" w:rsidR="00CC2E8D" w:rsidRPr="00B3177D" w:rsidRDefault="00CC2E8D" w:rsidP="00CC2E8D">
      <w:pPr>
        <w:pStyle w:val="Proposal"/>
        <w:tabs>
          <w:tab w:val="clear" w:pos="1871"/>
          <w:tab w:val="num" w:pos="1304"/>
        </w:tabs>
        <w:ind w:left="1304"/>
        <w:rPr>
          <w:rFonts w:ascii="Times New Roman" w:hAnsi="Times New Roman"/>
          <w:i/>
          <w:lang w:val="en-US"/>
        </w:rPr>
      </w:pPr>
      <w:r w:rsidRPr="00B3177D">
        <w:rPr>
          <w:rFonts w:ascii="Times New Roman" w:hAnsi="Times New Roman"/>
          <w:i/>
          <w:lang w:val="en-US"/>
        </w:rPr>
        <w:t xml:space="preserve">At least for UEs with 23 </w:t>
      </w:r>
      <w:proofErr w:type="spellStart"/>
      <w:r w:rsidRPr="00B3177D">
        <w:rPr>
          <w:rFonts w:ascii="Times New Roman" w:hAnsi="Times New Roman"/>
          <w:i/>
          <w:lang w:val="en-US"/>
        </w:rPr>
        <w:t>dBm</w:t>
      </w:r>
      <w:proofErr w:type="spellEnd"/>
      <w:r w:rsidRPr="00B3177D">
        <w:rPr>
          <w:rFonts w:ascii="Times New Roman" w:hAnsi="Times New Roman"/>
          <w:i/>
          <w:lang w:val="en-US"/>
        </w:rPr>
        <w:t xml:space="preserve"> and 20 </w:t>
      </w:r>
      <w:proofErr w:type="spellStart"/>
      <w:r w:rsidRPr="00B3177D">
        <w:rPr>
          <w:rFonts w:ascii="Times New Roman" w:hAnsi="Times New Roman"/>
          <w:i/>
          <w:lang w:val="en-US"/>
        </w:rPr>
        <w:t>dBm</w:t>
      </w:r>
      <w:proofErr w:type="spellEnd"/>
      <w:r w:rsidRPr="00B3177D">
        <w:rPr>
          <w:rFonts w:ascii="Times New Roman" w:hAnsi="Times New Roman"/>
          <w:i/>
          <w:lang w:val="en-US"/>
        </w:rPr>
        <w:t xml:space="preserve"> output power, it is desirable to use the same PRACH design for Rel-14 UEs as Rel-13 UEs on both anchor and non-anchor carrier(s).</w:t>
      </w:r>
    </w:p>
    <w:p w14:paraId="4BA936EF" w14:textId="77777777" w:rsidR="00CC2E8D" w:rsidRDefault="00CC2E8D" w:rsidP="002B1F3D">
      <w:pPr>
        <w:pStyle w:val="BodyText"/>
        <w:rPr>
          <w:lang w:val="en-US"/>
        </w:rPr>
      </w:pPr>
    </w:p>
    <w:p w14:paraId="05E8BF7C" w14:textId="77777777" w:rsidR="00CC2E8D" w:rsidRPr="00B50AE1" w:rsidRDefault="00CC2E8D" w:rsidP="00CC2E8D">
      <w:pPr>
        <w:pStyle w:val="Proposal"/>
        <w:tabs>
          <w:tab w:val="clear" w:pos="1871"/>
          <w:tab w:val="num" w:pos="1304"/>
        </w:tabs>
        <w:ind w:left="1304"/>
        <w:rPr>
          <w:rFonts w:ascii="Times New Roman" w:hAnsi="Times New Roman"/>
          <w:i/>
          <w:lang w:val="en-US"/>
        </w:rPr>
      </w:pPr>
      <w:r w:rsidRPr="00B50AE1">
        <w:rPr>
          <w:rFonts w:ascii="Times New Roman" w:hAnsi="Times New Roman"/>
          <w:i/>
          <w:lang w:val="en-US"/>
        </w:rPr>
        <w:t>It is beneficial to enable possibility to configure Rel-14 NB-</w:t>
      </w:r>
      <w:proofErr w:type="spellStart"/>
      <w:r w:rsidRPr="00B50AE1">
        <w:rPr>
          <w:rFonts w:ascii="Times New Roman" w:hAnsi="Times New Roman"/>
          <w:i/>
          <w:lang w:val="en-US"/>
        </w:rPr>
        <w:t>IoT</w:t>
      </w:r>
      <w:proofErr w:type="spellEnd"/>
      <w:r w:rsidRPr="00B50AE1">
        <w:rPr>
          <w:rFonts w:ascii="Times New Roman" w:hAnsi="Times New Roman"/>
          <w:i/>
          <w:lang w:val="en-US"/>
        </w:rPr>
        <w:t xml:space="preserve"> UEs such that their RA attempts are unevenly distributed amongst anchor-, and non-anchor carrier(s).</w:t>
      </w:r>
    </w:p>
    <w:p w14:paraId="3B9BF9C9" w14:textId="77777777" w:rsidR="00CC2E8D" w:rsidRDefault="00CC2E8D" w:rsidP="002B1F3D">
      <w:pPr>
        <w:pStyle w:val="BodyText"/>
        <w:rPr>
          <w:lang w:val="en-US"/>
        </w:rPr>
      </w:pPr>
    </w:p>
    <w:p w14:paraId="551AAFEC" w14:textId="77777777" w:rsidR="00CC2E8D" w:rsidRPr="00CC2E8D" w:rsidRDefault="00CC2E8D" w:rsidP="00CC2E8D">
      <w:pPr>
        <w:pStyle w:val="Proposal"/>
        <w:tabs>
          <w:tab w:val="clear" w:pos="1871"/>
          <w:tab w:val="num" w:pos="1304"/>
        </w:tabs>
        <w:ind w:left="1304"/>
        <w:rPr>
          <w:rFonts w:ascii="Times New Roman" w:hAnsi="Times New Roman"/>
          <w:i/>
          <w:lang w:val="en-US"/>
        </w:rPr>
      </w:pPr>
      <w:r w:rsidRPr="00CC2E8D">
        <w:rPr>
          <w:rFonts w:ascii="Times New Roman" w:hAnsi="Times New Roman"/>
          <w:i/>
          <w:lang w:val="en-US"/>
        </w:rPr>
        <w:t>For the RA procedure including Msg1/Msg2/Msg3/Msg4, it shall be possible to configure the DL carrier to be used per NPRACH resource present on non-anchor carriers.</w:t>
      </w:r>
    </w:p>
    <w:p w14:paraId="7BDBD8E2" w14:textId="77777777" w:rsidR="00CC2E8D" w:rsidRPr="00B50AE1" w:rsidRDefault="00CC2E8D" w:rsidP="00CC2E8D">
      <w:pPr>
        <w:pStyle w:val="Proposal"/>
        <w:tabs>
          <w:tab w:val="clear" w:pos="1871"/>
          <w:tab w:val="num" w:pos="1304"/>
        </w:tabs>
        <w:ind w:left="1304"/>
        <w:rPr>
          <w:rFonts w:ascii="Times New Roman" w:hAnsi="Times New Roman"/>
          <w:i/>
          <w:lang w:val="en-US"/>
        </w:rPr>
      </w:pPr>
      <w:r w:rsidRPr="00B50AE1">
        <w:rPr>
          <w:rFonts w:ascii="Times New Roman" w:hAnsi="Times New Roman"/>
          <w:i/>
          <w:lang w:val="en-US"/>
        </w:rPr>
        <w:t>During the RA procedure including Msg1/Msg2/Msg3/Msg4, it is sufficient to use one UL carrier (for Msg1/Msg3) and one DL carrier (for Msg2/Msg4).</w:t>
      </w:r>
    </w:p>
    <w:p w14:paraId="3C1C4260" w14:textId="77777777" w:rsidR="00CC2E8D" w:rsidRPr="00B50AE1" w:rsidRDefault="00CC2E8D" w:rsidP="00CC2E8D">
      <w:pPr>
        <w:pStyle w:val="Proposal"/>
        <w:tabs>
          <w:tab w:val="clear" w:pos="1871"/>
          <w:tab w:val="num" w:pos="1304"/>
        </w:tabs>
        <w:ind w:left="1304"/>
        <w:rPr>
          <w:rFonts w:ascii="Times New Roman" w:hAnsi="Times New Roman"/>
          <w:i/>
          <w:lang w:val="en-US"/>
        </w:rPr>
      </w:pPr>
      <w:r w:rsidRPr="00B50AE1">
        <w:rPr>
          <w:rFonts w:ascii="Times New Roman" w:hAnsi="Times New Roman"/>
          <w:i/>
          <w:lang w:val="en-US"/>
        </w:rPr>
        <w:t>If no dedicated configuration (</w:t>
      </w:r>
      <w:proofErr w:type="spellStart"/>
      <w:r w:rsidRPr="00B50AE1">
        <w:rPr>
          <w:rFonts w:ascii="Times New Roman" w:hAnsi="Times New Roman"/>
          <w:i/>
          <w:lang w:val="en-US"/>
        </w:rPr>
        <w:t>physicalConfigDedicated</w:t>
      </w:r>
      <w:proofErr w:type="spellEnd"/>
      <w:r w:rsidRPr="00B50AE1">
        <w:rPr>
          <w:rFonts w:ascii="Times New Roman" w:hAnsi="Times New Roman"/>
          <w:i/>
          <w:lang w:val="en-US"/>
        </w:rPr>
        <w:t>-NB) is provided to the UE in Msg4, the UE remains on the UL carrier where Msg1/Msg3 was transmitted and on the DL carrier where Msg2/Msg4 was received.</w:t>
      </w:r>
    </w:p>
    <w:p w14:paraId="4EDE1671" w14:textId="77777777" w:rsidR="00CC2E8D" w:rsidRPr="002B1F3D" w:rsidRDefault="00CC2E8D" w:rsidP="002B1F3D">
      <w:pPr>
        <w:pStyle w:val="BodyText"/>
        <w:rPr>
          <w:lang w:val="en-US"/>
        </w:rPr>
      </w:pPr>
    </w:p>
    <w:p w14:paraId="0876551E" w14:textId="77777777" w:rsidR="00CC2E8D" w:rsidRPr="00B50AE1" w:rsidRDefault="00CC2E8D" w:rsidP="00CC2E8D">
      <w:pPr>
        <w:pStyle w:val="Proposal"/>
        <w:tabs>
          <w:tab w:val="clear" w:pos="1871"/>
          <w:tab w:val="num" w:pos="1304"/>
        </w:tabs>
        <w:ind w:left="1304"/>
        <w:rPr>
          <w:rFonts w:ascii="Times New Roman" w:hAnsi="Times New Roman"/>
          <w:i/>
          <w:lang w:val="en-US"/>
        </w:rPr>
      </w:pPr>
      <w:r w:rsidRPr="00B50AE1">
        <w:rPr>
          <w:rFonts w:ascii="Times New Roman" w:hAnsi="Times New Roman"/>
          <w:i/>
          <w:lang w:val="en-US"/>
        </w:rPr>
        <w:t>UEs in connected mode, unless explicitly configured to use a specific NPRACH resources, choose the NPRACH resource in the same way as in idle mode. As in Rel-13 the UE return to the previous carrier after contention resolution unless explicitly configured not to do so.</w:t>
      </w:r>
    </w:p>
    <w:p w14:paraId="3EAC2176" w14:textId="77777777" w:rsidR="00CC2E8D" w:rsidRPr="00B50AE1" w:rsidRDefault="00CC2E8D" w:rsidP="00CC2E8D">
      <w:pPr>
        <w:pStyle w:val="Proposal"/>
        <w:tabs>
          <w:tab w:val="clear" w:pos="1871"/>
          <w:tab w:val="num" w:pos="1304"/>
        </w:tabs>
        <w:ind w:left="1304"/>
        <w:rPr>
          <w:rFonts w:ascii="Times New Roman" w:hAnsi="Times New Roman"/>
          <w:i/>
          <w:lang w:val="en-US"/>
        </w:rPr>
      </w:pPr>
      <w:r w:rsidRPr="00B50AE1">
        <w:rPr>
          <w:rFonts w:ascii="Times New Roman" w:hAnsi="Times New Roman"/>
          <w:i/>
          <w:lang w:val="en-US"/>
        </w:rPr>
        <w:t>Introduce a new DCI format for PDCCH order which can explicitly point out an NPRACH resource configuration on any UL carrier broadcasted on SI. If the PDCCH order explicitly points out an NPRACH resource, the UE shall use that one, otherwise the idle mode NPRACH resource selection is performed by the UE.</w:t>
      </w:r>
    </w:p>
    <w:p w14:paraId="4B764729" w14:textId="00EA6BD6" w:rsidR="00CA763A" w:rsidRPr="00156E70" w:rsidRDefault="00CA763A" w:rsidP="00CA763A">
      <w:pPr>
        <w:pStyle w:val="Proposal"/>
        <w:numPr>
          <w:ilvl w:val="0"/>
          <w:numId w:val="0"/>
        </w:numPr>
        <w:ind w:left="1871"/>
        <w:rPr>
          <w:lang w:val="en-US"/>
        </w:rPr>
      </w:pPr>
    </w:p>
    <w:p w14:paraId="7DAF8632" w14:textId="3E80E63C" w:rsidR="00DF3BDD" w:rsidRPr="00EA3582" w:rsidRDefault="00DF3BDD" w:rsidP="00EA3582">
      <w:pPr>
        <w:pStyle w:val="Heading1"/>
        <w:rPr>
          <w:lang w:val="en-US"/>
        </w:rPr>
      </w:pPr>
      <w:bookmarkStart w:id="101" w:name="_In-sequence_SDU_delivery"/>
      <w:bookmarkEnd w:id="101"/>
      <w:r w:rsidRPr="002D264C">
        <w:rPr>
          <w:lang w:val="en-US"/>
        </w:rPr>
        <w:t>References</w:t>
      </w:r>
      <w:bookmarkStart w:id="102" w:name="_Ref174151459"/>
      <w:bookmarkStart w:id="103" w:name="_Ref189809556"/>
    </w:p>
    <w:p w14:paraId="4253DA30" w14:textId="280F2B1B" w:rsidR="00DF3BDD" w:rsidRDefault="00162DC8" w:rsidP="00854353">
      <w:pPr>
        <w:pStyle w:val="Reference"/>
        <w:rPr>
          <w:lang w:val="en-US"/>
        </w:rPr>
      </w:pPr>
      <w:bookmarkStart w:id="104" w:name="_Ref446350442"/>
      <w:bookmarkStart w:id="105" w:name="_Ref455671457"/>
      <w:r w:rsidRPr="00162DC8">
        <w:rPr>
          <w:noProof/>
          <w:lang w:val="en-US"/>
        </w:rPr>
        <w:t>RP-161324</w:t>
      </w:r>
      <w:r w:rsidR="00DF3BDD" w:rsidRPr="00F94ADB">
        <w:rPr>
          <w:noProof/>
          <w:lang w:val="en-US"/>
        </w:rPr>
        <w:t>,</w:t>
      </w:r>
      <w:bookmarkStart w:id="106" w:name="_Ref446603875"/>
      <w:bookmarkEnd w:id="104"/>
      <w:r>
        <w:rPr>
          <w:noProof/>
          <w:lang w:val="en-US"/>
        </w:rPr>
        <w:t xml:space="preserve"> 3GPP Work Item Description</w:t>
      </w:r>
      <w:r w:rsidR="00854353">
        <w:rPr>
          <w:noProof/>
          <w:lang w:val="en-US"/>
        </w:rPr>
        <w:t xml:space="preserve">, </w:t>
      </w:r>
      <w:r w:rsidR="00854353" w:rsidRPr="00854353">
        <w:rPr>
          <w:noProof/>
          <w:lang w:val="en-US"/>
        </w:rPr>
        <w:t>New work item proposal: Enhancements of NB-IoT</w:t>
      </w:r>
      <w:r w:rsidR="00854353">
        <w:rPr>
          <w:noProof/>
          <w:lang w:val="en-US"/>
        </w:rPr>
        <w:t xml:space="preserve">, </w:t>
      </w:r>
      <w:r w:rsidR="00854353" w:rsidRPr="00854353">
        <w:rPr>
          <w:noProof/>
          <w:lang w:val="en-US"/>
        </w:rPr>
        <w:t>Vodafone, Huawei, HiSilicon, Ericsson, Qualcomm</w:t>
      </w:r>
      <w:r w:rsidR="00854353">
        <w:rPr>
          <w:noProof/>
          <w:lang w:val="en-US"/>
        </w:rPr>
        <w:t xml:space="preserve">. Agenda Item 10.1.1, </w:t>
      </w:r>
      <w:r w:rsidR="00854353" w:rsidRPr="00854353">
        <w:rPr>
          <w:noProof/>
          <w:lang w:val="en-US"/>
        </w:rPr>
        <w:t>3GPP TSG RAN Meeting #72</w:t>
      </w:r>
      <w:r w:rsidR="00854353">
        <w:rPr>
          <w:noProof/>
          <w:lang w:val="en-US"/>
        </w:rPr>
        <w:t xml:space="preserve">, </w:t>
      </w:r>
      <w:r w:rsidR="00854353" w:rsidRPr="00854353">
        <w:rPr>
          <w:noProof/>
          <w:lang w:val="en-US"/>
        </w:rPr>
        <w:t>Busan, Korea, 13th – 16th June, 2016</w:t>
      </w:r>
      <w:bookmarkEnd w:id="106"/>
      <w:r w:rsidR="00A054E2">
        <w:rPr>
          <w:noProof/>
          <w:lang w:val="en-US"/>
        </w:rPr>
        <w:t>.</w:t>
      </w:r>
      <w:bookmarkEnd w:id="105"/>
    </w:p>
    <w:p w14:paraId="68F57835" w14:textId="4CB2EE17" w:rsidR="00A054E2" w:rsidRDefault="00A054E2" w:rsidP="001D0E2A">
      <w:pPr>
        <w:pStyle w:val="Reference"/>
        <w:rPr>
          <w:lang w:val="en-US"/>
        </w:rPr>
      </w:pPr>
      <w:bookmarkStart w:id="107" w:name="_Ref455671521"/>
      <w:r w:rsidRPr="00A054E2">
        <w:t>R2-161888</w:t>
      </w:r>
      <w:r>
        <w:t xml:space="preserve">, </w:t>
      </w:r>
      <w:r w:rsidR="00150C18" w:rsidRPr="00150C18">
        <w:t>Way forward on RAN2 aspects of multiple PRB operations</w:t>
      </w:r>
      <w:r w:rsidR="00150C18">
        <w:t xml:space="preserve">, </w:t>
      </w:r>
      <w:r w:rsidR="00150C18" w:rsidRPr="00150C18">
        <w:rPr>
          <w:lang w:val="en-US"/>
        </w:rPr>
        <w:t>NTT DOCOMO, INC., Ericsson, Vodafone, Qualcomm, ZTE, Nokia Networks, Alcatel-Lucent, Alcatel-Lucent Shanghai Bell, Intel</w:t>
      </w:r>
      <w:r w:rsidR="00150C18">
        <w:rPr>
          <w:lang w:val="en-US"/>
        </w:rPr>
        <w:t xml:space="preserve">, </w:t>
      </w:r>
      <w:r w:rsidR="00150C18" w:rsidRPr="00150C18">
        <w:t>TSG-RAN WG2 meeting #</w:t>
      </w:r>
      <w:r w:rsidR="00150C18" w:rsidRPr="00150C18">
        <w:rPr>
          <w:lang w:val="en-US"/>
        </w:rPr>
        <w:t>93, 15-19 February 2016, St. Julian’s, Malta</w:t>
      </w:r>
      <w:r w:rsidR="00150C18">
        <w:rPr>
          <w:lang w:val="en-US"/>
        </w:rPr>
        <w:t>.</w:t>
      </w:r>
      <w:bookmarkEnd w:id="107"/>
    </w:p>
    <w:p w14:paraId="0764CEC9" w14:textId="660D2CA3" w:rsidR="00EB7C0D" w:rsidRPr="001D0E2A" w:rsidRDefault="003361E6" w:rsidP="009F59BA">
      <w:pPr>
        <w:pStyle w:val="Reference"/>
        <w:rPr>
          <w:lang w:val="en-US"/>
        </w:rPr>
      </w:pPr>
      <w:bookmarkStart w:id="108" w:name="_Ref455673768"/>
      <w:r>
        <w:rPr>
          <w:rFonts w:eastAsia="PMingLiU"/>
          <w:lang w:eastAsia="zh-TW"/>
        </w:rPr>
        <w:t>R2-164422</w:t>
      </w:r>
      <w:r>
        <w:t xml:space="preserve">, </w:t>
      </w:r>
      <w:r>
        <w:rPr>
          <w:rFonts w:eastAsia="PMingLiU"/>
          <w:lang w:eastAsia="zh-TW"/>
        </w:rPr>
        <w:t>Report from NB-IOT Break-Out Session</w:t>
      </w:r>
      <w:r>
        <w:t xml:space="preserve">, </w:t>
      </w:r>
      <w:proofErr w:type="spellStart"/>
      <w:r>
        <w:rPr>
          <w:rFonts w:eastAsia="PMingLiU"/>
          <w:lang w:eastAsia="zh-TW"/>
        </w:rPr>
        <w:t>Mediatek</w:t>
      </w:r>
      <w:proofErr w:type="spellEnd"/>
      <w:r>
        <w:rPr>
          <w:rFonts w:eastAsia="PMingLiU"/>
          <w:lang w:eastAsia="zh-TW"/>
        </w:rPr>
        <w:t xml:space="preserve"> Inc. (Session Chair)</w:t>
      </w:r>
      <w:r>
        <w:t xml:space="preserve">, Agenda Item 15.3, </w:t>
      </w:r>
      <w:r w:rsidR="00E75137">
        <w:t>3GPP TSG-RAN WG2 Meeting #9</w:t>
      </w:r>
      <w:r w:rsidR="00E75137">
        <w:rPr>
          <w:rFonts w:eastAsia="PMingLiU"/>
          <w:lang w:eastAsia="zh-TW"/>
        </w:rPr>
        <w:t>4</w:t>
      </w:r>
      <w:r w:rsidR="009F59BA">
        <w:rPr>
          <w:rFonts w:eastAsia="PMingLiU"/>
          <w:lang w:eastAsia="zh-TW"/>
        </w:rPr>
        <w:t xml:space="preserve">, </w:t>
      </w:r>
      <w:r w:rsidR="009F59BA" w:rsidRPr="009F59BA">
        <w:rPr>
          <w:rFonts w:eastAsia="PMingLiU"/>
          <w:lang w:eastAsia="zh-TW"/>
        </w:rPr>
        <w:t>Nanjing, China, 23th – 27th May 2016</w:t>
      </w:r>
      <w:bookmarkEnd w:id="108"/>
      <w:r>
        <w:rPr>
          <w:rFonts w:eastAsia="PMingLiU"/>
          <w:lang w:eastAsia="zh-TW"/>
        </w:rPr>
        <w:t>.</w:t>
      </w:r>
      <w:bookmarkEnd w:id="102"/>
      <w:bookmarkEnd w:id="103"/>
      <w:bookmarkEnd w:id="0"/>
    </w:p>
    <w:sectPr w:rsidR="00EB7C0D" w:rsidRPr="001D0E2A">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7956A" w14:textId="77777777" w:rsidR="009201F4" w:rsidRDefault="009201F4">
      <w:r>
        <w:separator/>
      </w:r>
    </w:p>
  </w:endnote>
  <w:endnote w:type="continuationSeparator" w:id="0">
    <w:p w14:paraId="3ADBCC2A" w14:textId="77777777" w:rsidR="009201F4" w:rsidRDefault="00920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BC8FF" w14:textId="6342750C" w:rsidR="008F2390" w:rsidRDefault="008F239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84CA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4CA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C5652" w14:textId="77777777" w:rsidR="009201F4" w:rsidRDefault="009201F4">
      <w:r>
        <w:separator/>
      </w:r>
    </w:p>
  </w:footnote>
  <w:footnote w:type="continuationSeparator" w:id="0">
    <w:p w14:paraId="5E0B4F5C" w14:textId="77777777" w:rsidR="009201F4" w:rsidRDefault="009201F4">
      <w:r>
        <w:continuationSeparator/>
      </w:r>
    </w:p>
  </w:footnote>
  <w:footnote w:id="1">
    <w:p w14:paraId="25002FAC" w14:textId="720E9EF0" w:rsidR="008F2390" w:rsidRPr="00496BA5" w:rsidRDefault="008F2390">
      <w:pPr>
        <w:pStyle w:val="FootnoteText"/>
        <w:rPr>
          <w:lang w:val="en-US"/>
        </w:rPr>
      </w:pPr>
      <w:r>
        <w:rPr>
          <w:rStyle w:val="FootnoteReference"/>
        </w:rPr>
        <w:footnoteRef/>
      </w:r>
      <w:r>
        <w:t xml:space="preserve"> </w:t>
      </w:r>
      <w:r w:rsidRPr="00496BA5">
        <w:rPr>
          <w:lang w:val="en-US"/>
        </w:rPr>
        <w:t xml:space="preserve">Note that </w:t>
      </w:r>
      <w:r>
        <w:rPr>
          <w:lang w:val="en-US"/>
        </w:rPr>
        <w:t xml:space="preserve">this is just an example; </w:t>
      </w:r>
      <w:r w:rsidRPr="00496BA5">
        <w:rPr>
          <w:lang w:val="en-US"/>
        </w:rPr>
        <w:t>it is not only the anc</w:t>
      </w:r>
      <w:r>
        <w:rPr>
          <w:lang w:val="en-US"/>
        </w:rPr>
        <w:t xml:space="preserve">hor carrier that might be power </w:t>
      </w:r>
      <w:r w:rsidRPr="00496BA5">
        <w:rPr>
          <w:lang w:val="en-US"/>
        </w:rPr>
        <w:t>boosted, hence the same logic a</w:t>
      </w:r>
      <w:r>
        <w:rPr>
          <w:lang w:val="en-US"/>
        </w:rPr>
        <w:t xml:space="preserve">pplies to any non-anchor power-boosted carrier. In general, it is beneficial for UEs in high CE to receive </w:t>
      </w:r>
      <w:r w:rsidR="007E61F2">
        <w:rPr>
          <w:lang w:val="en-US"/>
        </w:rPr>
        <w:t>Msg2/Msg4 from a</w:t>
      </w:r>
      <w:r w:rsidRPr="006F2EAD">
        <w:rPr>
          <w:lang w:val="en-US"/>
        </w:rPr>
        <w:t xml:space="preserve"> </w:t>
      </w:r>
      <w:r>
        <w:rPr>
          <w:lang w:val="en-US"/>
        </w:rPr>
        <w:t xml:space="preserve">power </w:t>
      </w:r>
      <w:r w:rsidRPr="006F2EAD">
        <w:rPr>
          <w:lang w:val="en-US"/>
        </w:rPr>
        <w:t>boosted DL</w:t>
      </w:r>
      <w:r w:rsidR="007E61F2">
        <w:rPr>
          <w:lang w:val="en-US"/>
        </w:rPr>
        <w:t xml:space="preserve"> carrier</w:t>
      </w:r>
      <w:r>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6ACFC" w14:textId="77777777" w:rsidR="008F2390" w:rsidRDefault="008F239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4C6EF6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A5904F6"/>
    <w:multiLevelType w:val="hybridMultilevel"/>
    <w:tmpl w:val="21C60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1117"/>
        </w:tabs>
        <w:ind w:left="1117" w:hanging="397"/>
      </w:pPr>
      <w:rPr>
        <w:rFonts w:ascii="Times New Roman" w:hAnsi="Times New Roman" w:cs="Times New Roman" w:hint="default"/>
      </w:rPr>
    </w:lvl>
    <w:lvl w:ilvl="1" w:tplc="04090003">
      <w:start w:val="1"/>
      <w:numFmt w:val="bullet"/>
      <w:lvlText w:val="o"/>
      <w:lvlJc w:val="left"/>
      <w:pPr>
        <w:tabs>
          <w:tab w:val="num" w:pos="2047"/>
        </w:tabs>
        <w:ind w:left="2047" w:hanging="360"/>
      </w:pPr>
      <w:rPr>
        <w:rFonts w:ascii="Courier New" w:hAnsi="Courier New" w:cs="Courier New" w:hint="default"/>
      </w:rPr>
    </w:lvl>
    <w:lvl w:ilvl="2" w:tplc="04090005" w:tentative="1">
      <w:start w:val="1"/>
      <w:numFmt w:val="bullet"/>
      <w:lvlText w:val=""/>
      <w:lvlJc w:val="left"/>
      <w:pPr>
        <w:tabs>
          <w:tab w:val="num" w:pos="2767"/>
        </w:tabs>
        <w:ind w:left="2767" w:hanging="360"/>
      </w:pPr>
      <w:rPr>
        <w:rFonts w:ascii="Wingdings" w:hAnsi="Wingdings" w:hint="default"/>
      </w:rPr>
    </w:lvl>
    <w:lvl w:ilvl="3" w:tplc="04090001" w:tentative="1">
      <w:start w:val="1"/>
      <w:numFmt w:val="bullet"/>
      <w:lvlText w:val=""/>
      <w:lvlJc w:val="left"/>
      <w:pPr>
        <w:tabs>
          <w:tab w:val="num" w:pos="3487"/>
        </w:tabs>
        <w:ind w:left="3487" w:hanging="360"/>
      </w:pPr>
      <w:rPr>
        <w:rFonts w:ascii="Symbol" w:hAnsi="Symbol" w:hint="default"/>
      </w:rPr>
    </w:lvl>
    <w:lvl w:ilvl="4" w:tplc="04090003" w:tentative="1">
      <w:start w:val="1"/>
      <w:numFmt w:val="bullet"/>
      <w:lvlText w:val="o"/>
      <w:lvlJc w:val="left"/>
      <w:pPr>
        <w:tabs>
          <w:tab w:val="num" w:pos="4207"/>
        </w:tabs>
        <w:ind w:left="4207" w:hanging="360"/>
      </w:pPr>
      <w:rPr>
        <w:rFonts w:ascii="Courier New" w:hAnsi="Courier New" w:cs="Courier New" w:hint="default"/>
      </w:rPr>
    </w:lvl>
    <w:lvl w:ilvl="5" w:tplc="04090005" w:tentative="1">
      <w:start w:val="1"/>
      <w:numFmt w:val="bullet"/>
      <w:lvlText w:val=""/>
      <w:lvlJc w:val="left"/>
      <w:pPr>
        <w:tabs>
          <w:tab w:val="num" w:pos="4927"/>
        </w:tabs>
        <w:ind w:left="4927" w:hanging="360"/>
      </w:pPr>
      <w:rPr>
        <w:rFonts w:ascii="Wingdings" w:hAnsi="Wingdings" w:hint="default"/>
      </w:rPr>
    </w:lvl>
    <w:lvl w:ilvl="6" w:tplc="04090001" w:tentative="1">
      <w:start w:val="1"/>
      <w:numFmt w:val="bullet"/>
      <w:lvlText w:val=""/>
      <w:lvlJc w:val="left"/>
      <w:pPr>
        <w:tabs>
          <w:tab w:val="num" w:pos="5647"/>
        </w:tabs>
        <w:ind w:left="5647" w:hanging="360"/>
      </w:pPr>
      <w:rPr>
        <w:rFonts w:ascii="Symbol" w:hAnsi="Symbol" w:hint="default"/>
      </w:rPr>
    </w:lvl>
    <w:lvl w:ilvl="7" w:tplc="04090003" w:tentative="1">
      <w:start w:val="1"/>
      <w:numFmt w:val="bullet"/>
      <w:lvlText w:val="o"/>
      <w:lvlJc w:val="left"/>
      <w:pPr>
        <w:tabs>
          <w:tab w:val="num" w:pos="6367"/>
        </w:tabs>
        <w:ind w:left="6367" w:hanging="360"/>
      </w:pPr>
      <w:rPr>
        <w:rFonts w:ascii="Courier New" w:hAnsi="Courier New" w:cs="Courier New" w:hint="default"/>
      </w:rPr>
    </w:lvl>
    <w:lvl w:ilvl="8" w:tplc="04090005" w:tentative="1">
      <w:start w:val="1"/>
      <w:numFmt w:val="bullet"/>
      <w:lvlText w:val=""/>
      <w:lvlJc w:val="left"/>
      <w:pPr>
        <w:tabs>
          <w:tab w:val="num" w:pos="7087"/>
        </w:tabs>
        <w:ind w:left="7087"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617442"/>
    <w:multiLevelType w:val="hybridMultilevel"/>
    <w:tmpl w:val="59162BC0"/>
    <w:lvl w:ilvl="0" w:tplc="2C9A96A2">
      <w:start w:val="45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6AE6D3F"/>
    <w:multiLevelType w:val="hybridMultilevel"/>
    <w:tmpl w:val="F5BA6866"/>
    <w:lvl w:ilvl="0" w:tplc="A30A3D80">
      <w:start w:val="1"/>
      <w:numFmt w:val="bullet"/>
      <w:lvlText w:val="•"/>
      <w:lvlJc w:val="left"/>
      <w:pPr>
        <w:ind w:left="420" w:hanging="420"/>
      </w:pPr>
      <w:rPr>
        <w:rFonts w:ascii="Arial" w:hAnsi="Arial" w:cs="Times New Roman" w:hint="default"/>
      </w:rPr>
    </w:lvl>
    <w:lvl w:ilvl="1" w:tplc="7BB654F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3A691099"/>
    <w:multiLevelType w:val="hybridMultilevel"/>
    <w:tmpl w:val="6FE2AB86"/>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16FAFA6C" w:tentative="1">
      <w:start w:val="1"/>
      <w:numFmt w:val="decimal"/>
      <w:lvlText w:val="%3."/>
      <w:lvlJc w:val="left"/>
      <w:pPr>
        <w:tabs>
          <w:tab w:val="num" w:pos="2160"/>
        </w:tabs>
        <w:ind w:left="2160" w:hanging="360"/>
      </w:pPr>
    </w:lvl>
    <w:lvl w:ilvl="3" w:tplc="9C3E5BC4" w:tentative="1">
      <w:start w:val="1"/>
      <w:numFmt w:val="decimal"/>
      <w:lvlText w:val="%4."/>
      <w:lvlJc w:val="left"/>
      <w:pPr>
        <w:tabs>
          <w:tab w:val="num" w:pos="2880"/>
        </w:tabs>
        <w:ind w:left="2880" w:hanging="360"/>
      </w:pPr>
    </w:lvl>
    <w:lvl w:ilvl="4" w:tplc="021656BE" w:tentative="1">
      <w:start w:val="1"/>
      <w:numFmt w:val="decimal"/>
      <w:lvlText w:val="%5."/>
      <w:lvlJc w:val="left"/>
      <w:pPr>
        <w:tabs>
          <w:tab w:val="num" w:pos="3600"/>
        </w:tabs>
        <w:ind w:left="3600" w:hanging="360"/>
      </w:pPr>
    </w:lvl>
    <w:lvl w:ilvl="5" w:tplc="502072D4" w:tentative="1">
      <w:start w:val="1"/>
      <w:numFmt w:val="decimal"/>
      <w:lvlText w:val="%6."/>
      <w:lvlJc w:val="left"/>
      <w:pPr>
        <w:tabs>
          <w:tab w:val="num" w:pos="4320"/>
        </w:tabs>
        <w:ind w:left="4320" w:hanging="360"/>
      </w:pPr>
    </w:lvl>
    <w:lvl w:ilvl="6" w:tplc="8E385EDA" w:tentative="1">
      <w:start w:val="1"/>
      <w:numFmt w:val="decimal"/>
      <w:lvlText w:val="%7."/>
      <w:lvlJc w:val="left"/>
      <w:pPr>
        <w:tabs>
          <w:tab w:val="num" w:pos="5040"/>
        </w:tabs>
        <w:ind w:left="5040" w:hanging="360"/>
      </w:pPr>
    </w:lvl>
    <w:lvl w:ilvl="7" w:tplc="4446B0B6" w:tentative="1">
      <w:start w:val="1"/>
      <w:numFmt w:val="decimal"/>
      <w:lvlText w:val="%8."/>
      <w:lvlJc w:val="left"/>
      <w:pPr>
        <w:tabs>
          <w:tab w:val="num" w:pos="5760"/>
        </w:tabs>
        <w:ind w:left="5760" w:hanging="360"/>
      </w:pPr>
    </w:lvl>
    <w:lvl w:ilvl="8" w:tplc="AB5C9E94" w:tentative="1">
      <w:start w:val="1"/>
      <w:numFmt w:val="decimal"/>
      <w:lvlText w:val="%9."/>
      <w:lvlJc w:val="left"/>
      <w:pPr>
        <w:tabs>
          <w:tab w:val="num" w:pos="6480"/>
        </w:tabs>
        <w:ind w:left="6480" w:hanging="360"/>
      </w:pPr>
    </w:lvl>
  </w:abstractNum>
  <w:abstractNum w:abstractNumId="8" w15:restartNumberingAfterBreak="0">
    <w:nsid w:val="3AA46647"/>
    <w:multiLevelType w:val="hybridMultilevel"/>
    <w:tmpl w:val="F5348654"/>
    <w:lvl w:ilvl="0" w:tplc="3DD2FD66">
      <w:start w:val="1"/>
      <w:numFmt w:val="decimal"/>
      <w:pStyle w:val="Proposal"/>
      <w:lvlText w:val="Proposal %1"/>
      <w:lvlJc w:val="left"/>
      <w:pPr>
        <w:tabs>
          <w:tab w:val="num" w:pos="1871"/>
        </w:tabs>
        <w:ind w:left="1871" w:hanging="1304"/>
      </w:pPr>
      <w:rPr>
        <w:rFonts w:hint="default"/>
        <w:sz w:val="20"/>
      </w:rPr>
    </w:lvl>
    <w:lvl w:ilvl="1" w:tplc="04090019">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2B84BEA"/>
    <w:multiLevelType w:val="hybridMultilevel"/>
    <w:tmpl w:val="164822E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206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4821B3"/>
    <w:multiLevelType w:val="hybridMultilevel"/>
    <w:tmpl w:val="F88E15A0"/>
    <w:lvl w:ilvl="0" w:tplc="1860766A">
      <w:start w:val="1"/>
      <w:numFmt w:val="bullet"/>
      <w:lvlText w:val="–"/>
      <w:lvlJc w:val="left"/>
      <w:pPr>
        <w:tabs>
          <w:tab w:val="num" w:pos="720"/>
        </w:tabs>
        <w:ind w:left="720" w:hanging="360"/>
      </w:pPr>
      <w:rPr>
        <w:rFonts w:ascii="Ericsson Capital TT" w:hAnsi="Ericsson Capital TT" w:hint="default"/>
      </w:rPr>
    </w:lvl>
    <w:lvl w:ilvl="1" w:tplc="270A14D0">
      <w:start w:val="1"/>
      <w:numFmt w:val="bullet"/>
      <w:lvlText w:val="–"/>
      <w:lvlJc w:val="left"/>
      <w:pPr>
        <w:tabs>
          <w:tab w:val="num" w:pos="1440"/>
        </w:tabs>
        <w:ind w:left="1440" w:hanging="360"/>
      </w:pPr>
      <w:rPr>
        <w:rFonts w:ascii="Ericsson Capital TT" w:hAnsi="Ericsson Capital TT" w:hint="default"/>
      </w:rPr>
    </w:lvl>
    <w:lvl w:ilvl="2" w:tplc="B88ECEBE" w:tentative="1">
      <w:start w:val="1"/>
      <w:numFmt w:val="bullet"/>
      <w:lvlText w:val="–"/>
      <w:lvlJc w:val="left"/>
      <w:pPr>
        <w:tabs>
          <w:tab w:val="num" w:pos="2160"/>
        </w:tabs>
        <w:ind w:left="2160" w:hanging="360"/>
      </w:pPr>
      <w:rPr>
        <w:rFonts w:ascii="Ericsson Capital TT" w:hAnsi="Ericsson Capital TT" w:hint="default"/>
      </w:rPr>
    </w:lvl>
    <w:lvl w:ilvl="3" w:tplc="F30CBA0C" w:tentative="1">
      <w:start w:val="1"/>
      <w:numFmt w:val="bullet"/>
      <w:lvlText w:val="–"/>
      <w:lvlJc w:val="left"/>
      <w:pPr>
        <w:tabs>
          <w:tab w:val="num" w:pos="2880"/>
        </w:tabs>
        <w:ind w:left="2880" w:hanging="360"/>
      </w:pPr>
      <w:rPr>
        <w:rFonts w:ascii="Ericsson Capital TT" w:hAnsi="Ericsson Capital TT" w:hint="default"/>
      </w:rPr>
    </w:lvl>
    <w:lvl w:ilvl="4" w:tplc="E700AC26" w:tentative="1">
      <w:start w:val="1"/>
      <w:numFmt w:val="bullet"/>
      <w:lvlText w:val="–"/>
      <w:lvlJc w:val="left"/>
      <w:pPr>
        <w:tabs>
          <w:tab w:val="num" w:pos="3600"/>
        </w:tabs>
        <w:ind w:left="3600" w:hanging="360"/>
      </w:pPr>
      <w:rPr>
        <w:rFonts w:ascii="Ericsson Capital TT" w:hAnsi="Ericsson Capital TT" w:hint="default"/>
      </w:rPr>
    </w:lvl>
    <w:lvl w:ilvl="5" w:tplc="A4AE2B4E" w:tentative="1">
      <w:start w:val="1"/>
      <w:numFmt w:val="bullet"/>
      <w:lvlText w:val="–"/>
      <w:lvlJc w:val="left"/>
      <w:pPr>
        <w:tabs>
          <w:tab w:val="num" w:pos="4320"/>
        </w:tabs>
        <w:ind w:left="4320" w:hanging="360"/>
      </w:pPr>
      <w:rPr>
        <w:rFonts w:ascii="Ericsson Capital TT" w:hAnsi="Ericsson Capital TT" w:hint="default"/>
      </w:rPr>
    </w:lvl>
    <w:lvl w:ilvl="6" w:tplc="B5DA183E" w:tentative="1">
      <w:start w:val="1"/>
      <w:numFmt w:val="bullet"/>
      <w:lvlText w:val="–"/>
      <w:lvlJc w:val="left"/>
      <w:pPr>
        <w:tabs>
          <w:tab w:val="num" w:pos="5040"/>
        </w:tabs>
        <w:ind w:left="5040" w:hanging="360"/>
      </w:pPr>
      <w:rPr>
        <w:rFonts w:ascii="Ericsson Capital TT" w:hAnsi="Ericsson Capital TT" w:hint="default"/>
      </w:rPr>
    </w:lvl>
    <w:lvl w:ilvl="7" w:tplc="6F98BBB6" w:tentative="1">
      <w:start w:val="1"/>
      <w:numFmt w:val="bullet"/>
      <w:lvlText w:val="–"/>
      <w:lvlJc w:val="left"/>
      <w:pPr>
        <w:tabs>
          <w:tab w:val="num" w:pos="5760"/>
        </w:tabs>
        <w:ind w:left="5760" w:hanging="360"/>
      </w:pPr>
      <w:rPr>
        <w:rFonts w:ascii="Ericsson Capital TT" w:hAnsi="Ericsson Capital TT" w:hint="default"/>
      </w:rPr>
    </w:lvl>
    <w:lvl w:ilvl="8" w:tplc="E57EB88A" w:tentative="1">
      <w:start w:val="1"/>
      <w:numFmt w:val="bullet"/>
      <w:lvlText w:val="–"/>
      <w:lvlJc w:val="left"/>
      <w:pPr>
        <w:tabs>
          <w:tab w:val="num" w:pos="6480"/>
        </w:tabs>
        <w:ind w:left="6480" w:hanging="360"/>
      </w:pPr>
      <w:rPr>
        <w:rFonts w:ascii="Ericsson Capital TT" w:hAnsi="Ericsson Capital TT" w:hint="default"/>
      </w:rPr>
    </w:lvl>
  </w:abstractNum>
  <w:abstractNum w:abstractNumId="16"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8"/>
  </w:num>
  <w:num w:numId="4">
    <w:abstractNumId w:val="9"/>
  </w:num>
  <w:num w:numId="5">
    <w:abstractNumId w:val="3"/>
  </w:num>
  <w:num w:numId="6">
    <w:abstractNumId w:val="11"/>
  </w:num>
  <w:num w:numId="7">
    <w:abstractNumId w:val="14"/>
  </w:num>
  <w:num w:numId="8">
    <w:abstractNumId w:val="4"/>
  </w:num>
  <w:num w:numId="9">
    <w:abstractNumId w:val="13"/>
  </w:num>
  <w:num w:numId="10">
    <w:abstractNumId w:val="6"/>
  </w:num>
  <w:num w:numId="11">
    <w:abstractNumId w:val="10"/>
  </w:num>
  <w:num w:numId="12">
    <w:abstractNumId w:val="15"/>
  </w:num>
  <w:num w:numId="13">
    <w:abstractNumId w:val="7"/>
  </w:num>
  <w:num w:numId="14">
    <w:abstractNumId w:val="2"/>
  </w:num>
  <w:num w:numId="15">
    <w:abstractNumId w:val="16"/>
  </w:num>
  <w:num w:numId="16">
    <w:abstractNumId w:val="10"/>
  </w:num>
  <w:num w:numId="17">
    <w:abstractNumId w:val="0"/>
  </w:num>
  <w:num w:numId="18">
    <w:abstractNumId w:val="5"/>
  </w:num>
  <w:num w:numId="19">
    <w:abstractNumId w:val="8"/>
    <w:lvlOverride w:ilvl="0">
      <w:startOverride w:val="1"/>
    </w:lvlOverride>
  </w:num>
  <w:num w:numId="20">
    <w:abstractNumId w:val="13"/>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4E6"/>
    <w:rsid w:val="00003D2A"/>
    <w:rsid w:val="00004E7E"/>
    <w:rsid w:val="00005CB7"/>
    <w:rsid w:val="00006153"/>
    <w:rsid w:val="00006446"/>
    <w:rsid w:val="00006896"/>
    <w:rsid w:val="00006A3C"/>
    <w:rsid w:val="00007496"/>
    <w:rsid w:val="00007CC4"/>
    <w:rsid w:val="00007CDC"/>
    <w:rsid w:val="00007F02"/>
    <w:rsid w:val="00010568"/>
    <w:rsid w:val="00010FDB"/>
    <w:rsid w:val="00011B28"/>
    <w:rsid w:val="0001470F"/>
    <w:rsid w:val="00015D15"/>
    <w:rsid w:val="00016E5B"/>
    <w:rsid w:val="0002002E"/>
    <w:rsid w:val="0002076C"/>
    <w:rsid w:val="00020914"/>
    <w:rsid w:val="000210C6"/>
    <w:rsid w:val="00021AF6"/>
    <w:rsid w:val="00021F83"/>
    <w:rsid w:val="000224A1"/>
    <w:rsid w:val="00022ABB"/>
    <w:rsid w:val="00023945"/>
    <w:rsid w:val="0002396E"/>
    <w:rsid w:val="000239CD"/>
    <w:rsid w:val="0002468D"/>
    <w:rsid w:val="0002474A"/>
    <w:rsid w:val="00024B54"/>
    <w:rsid w:val="000250E5"/>
    <w:rsid w:val="0002564D"/>
    <w:rsid w:val="00025E52"/>
    <w:rsid w:val="00025ECA"/>
    <w:rsid w:val="000268D5"/>
    <w:rsid w:val="00027939"/>
    <w:rsid w:val="00027EEB"/>
    <w:rsid w:val="000325B8"/>
    <w:rsid w:val="000330D8"/>
    <w:rsid w:val="000336E5"/>
    <w:rsid w:val="0003398B"/>
    <w:rsid w:val="000342B5"/>
    <w:rsid w:val="00034C15"/>
    <w:rsid w:val="00036BA1"/>
    <w:rsid w:val="000378D2"/>
    <w:rsid w:val="00040682"/>
    <w:rsid w:val="00041165"/>
    <w:rsid w:val="000422E2"/>
    <w:rsid w:val="00042EEA"/>
    <w:rsid w:val="00042F22"/>
    <w:rsid w:val="0004385A"/>
    <w:rsid w:val="00043D29"/>
    <w:rsid w:val="000444EF"/>
    <w:rsid w:val="00044AF0"/>
    <w:rsid w:val="00050155"/>
    <w:rsid w:val="00050DF5"/>
    <w:rsid w:val="00051595"/>
    <w:rsid w:val="000524A2"/>
    <w:rsid w:val="00052A07"/>
    <w:rsid w:val="00052B84"/>
    <w:rsid w:val="000534E3"/>
    <w:rsid w:val="0005384E"/>
    <w:rsid w:val="00053A37"/>
    <w:rsid w:val="0005420D"/>
    <w:rsid w:val="000550D1"/>
    <w:rsid w:val="00055C6C"/>
    <w:rsid w:val="0005606A"/>
    <w:rsid w:val="00057117"/>
    <w:rsid w:val="00057976"/>
    <w:rsid w:val="000616E7"/>
    <w:rsid w:val="0006187F"/>
    <w:rsid w:val="0006200A"/>
    <w:rsid w:val="0006238B"/>
    <w:rsid w:val="00063CC1"/>
    <w:rsid w:val="00063E23"/>
    <w:rsid w:val="0006487E"/>
    <w:rsid w:val="00064EA9"/>
    <w:rsid w:val="00065343"/>
    <w:rsid w:val="00065C1C"/>
    <w:rsid w:val="00065E1A"/>
    <w:rsid w:val="00066230"/>
    <w:rsid w:val="0007090D"/>
    <w:rsid w:val="0007450B"/>
    <w:rsid w:val="00075241"/>
    <w:rsid w:val="00075583"/>
    <w:rsid w:val="00075A26"/>
    <w:rsid w:val="00075F9E"/>
    <w:rsid w:val="00077953"/>
    <w:rsid w:val="00077D26"/>
    <w:rsid w:val="00077E5F"/>
    <w:rsid w:val="0008036A"/>
    <w:rsid w:val="00081AE6"/>
    <w:rsid w:val="00081D7C"/>
    <w:rsid w:val="00082AC1"/>
    <w:rsid w:val="000848CD"/>
    <w:rsid w:val="000855EB"/>
    <w:rsid w:val="00085B52"/>
    <w:rsid w:val="00085D36"/>
    <w:rsid w:val="00085E2B"/>
    <w:rsid w:val="000866F2"/>
    <w:rsid w:val="0009009F"/>
    <w:rsid w:val="00091438"/>
    <w:rsid w:val="00091557"/>
    <w:rsid w:val="00091A07"/>
    <w:rsid w:val="000924C1"/>
    <w:rsid w:val="000924F0"/>
    <w:rsid w:val="000926C5"/>
    <w:rsid w:val="00093474"/>
    <w:rsid w:val="000939DB"/>
    <w:rsid w:val="0009510F"/>
    <w:rsid w:val="0009538E"/>
    <w:rsid w:val="0009561F"/>
    <w:rsid w:val="00096544"/>
    <w:rsid w:val="000A03AA"/>
    <w:rsid w:val="000A1B7B"/>
    <w:rsid w:val="000A249C"/>
    <w:rsid w:val="000A27E2"/>
    <w:rsid w:val="000A29A3"/>
    <w:rsid w:val="000A2E79"/>
    <w:rsid w:val="000A332F"/>
    <w:rsid w:val="000A3A13"/>
    <w:rsid w:val="000A4008"/>
    <w:rsid w:val="000A41E8"/>
    <w:rsid w:val="000A44F5"/>
    <w:rsid w:val="000A56F2"/>
    <w:rsid w:val="000A6EF1"/>
    <w:rsid w:val="000A7807"/>
    <w:rsid w:val="000B0EF3"/>
    <w:rsid w:val="000B11CD"/>
    <w:rsid w:val="000B13FB"/>
    <w:rsid w:val="000B18EA"/>
    <w:rsid w:val="000B2719"/>
    <w:rsid w:val="000B2E06"/>
    <w:rsid w:val="000B2F2B"/>
    <w:rsid w:val="000B3A8F"/>
    <w:rsid w:val="000B3ADD"/>
    <w:rsid w:val="000B4AB9"/>
    <w:rsid w:val="000B58C3"/>
    <w:rsid w:val="000B61E9"/>
    <w:rsid w:val="000B74FF"/>
    <w:rsid w:val="000C150D"/>
    <w:rsid w:val="000C15CC"/>
    <w:rsid w:val="000C165A"/>
    <w:rsid w:val="000C16FF"/>
    <w:rsid w:val="000C24AA"/>
    <w:rsid w:val="000C2E19"/>
    <w:rsid w:val="000C47A2"/>
    <w:rsid w:val="000C5D1C"/>
    <w:rsid w:val="000D06CF"/>
    <w:rsid w:val="000D0D07"/>
    <w:rsid w:val="000D21B6"/>
    <w:rsid w:val="000D3AA1"/>
    <w:rsid w:val="000D3E9D"/>
    <w:rsid w:val="000D4797"/>
    <w:rsid w:val="000D5FE2"/>
    <w:rsid w:val="000D7422"/>
    <w:rsid w:val="000E0527"/>
    <w:rsid w:val="000E094A"/>
    <w:rsid w:val="000E0A1E"/>
    <w:rsid w:val="000E0B9A"/>
    <w:rsid w:val="000E1E92"/>
    <w:rsid w:val="000E3817"/>
    <w:rsid w:val="000E77C4"/>
    <w:rsid w:val="000F0227"/>
    <w:rsid w:val="000F06D6"/>
    <w:rsid w:val="000F0EB1"/>
    <w:rsid w:val="000F1106"/>
    <w:rsid w:val="000F15E5"/>
    <w:rsid w:val="000F1F9F"/>
    <w:rsid w:val="000F323F"/>
    <w:rsid w:val="000F38DD"/>
    <w:rsid w:val="000F3BE9"/>
    <w:rsid w:val="000F3F6C"/>
    <w:rsid w:val="000F4487"/>
    <w:rsid w:val="000F56D5"/>
    <w:rsid w:val="000F6DF3"/>
    <w:rsid w:val="001005FF"/>
    <w:rsid w:val="00102EA4"/>
    <w:rsid w:val="00102FAB"/>
    <w:rsid w:val="00103884"/>
    <w:rsid w:val="00104A21"/>
    <w:rsid w:val="0010500A"/>
    <w:rsid w:val="001062FB"/>
    <w:rsid w:val="001063E6"/>
    <w:rsid w:val="001070D6"/>
    <w:rsid w:val="00113CF4"/>
    <w:rsid w:val="00113DAB"/>
    <w:rsid w:val="00113E35"/>
    <w:rsid w:val="00114DC7"/>
    <w:rsid w:val="001153EA"/>
    <w:rsid w:val="00115643"/>
    <w:rsid w:val="00115B41"/>
    <w:rsid w:val="00116765"/>
    <w:rsid w:val="00116BD1"/>
    <w:rsid w:val="001176E4"/>
    <w:rsid w:val="00120DBA"/>
    <w:rsid w:val="001219F5"/>
    <w:rsid w:val="00121A20"/>
    <w:rsid w:val="001225F1"/>
    <w:rsid w:val="00122F2E"/>
    <w:rsid w:val="001232D2"/>
    <w:rsid w:val="0012377F"/>
    <w:rsid w:val="00124314"/>
    <w:rsid w:val="001250F7"/>
    <w:rsid w:val="00126B4A"/>
    <w:rsid w:val="001302D0"/>
    <w:rsid w:val="00130839"/>
    <w:rsid w:val="00130F6E"/>
    <w:rsid w:val="0013123C"/>
    <w:rsid w:val="001312E5"/>
    <w:rsid w:val="00131AA7"/>
    <w:rsid w:val="00132F22"/>
    <w:rsid w:val="00132FD0"/>
    <w:rsid w:val="001344C0"/>
    <w:rsid w:val="001346FA"/>
    <w:rsid w:val="00134D8D"/>
    <w:rsid w:val="00135252"/>
    <w:rsid w:val="001360CD"/>
    <w:rsid w:val="0013660F"/>
    <w:rsid w:val="00136FF4"/>
    <w:rsid w:val="00137AB5"/>
    <w:rsid w:val="00137CE9"/>
    <w:rsid w:val="00137F0B"/>
    <w:rsid w:val="001401CA"/>
    <w:rsid w:val="00140667"/>
    <w:rsid w:val="00140D4E"/>
    <w:rsid w:val="00140DCA"/>
    <w:rsid w:val="00141314"/>
    <w:rsid w:val="00141CC4"/>
    <w:rsid w:val="00144799"/>
    <w:rsid w:val="001507C3"/>
    <w:rsid w:val="001509BB"/>
    <w:rsid w:val="00150C18"/>
    <w:rsid w:val="001514B7"/>
    <w:rsid w:val="00151E23"/>
    <w:rsid w:val="001526E0"/>
    <w:rsid w:val="001533E9"/>
    <w:rsid w:val="00153576"/>
    <w:rsid w:val="00153A2B"/>
    <w:rsid w:val="0015428D"/>
    <w:rsid w:val="001551B5"/>
    <w:rsid w:val="001553A1"/>
    <w:rsid w:val="00156CB3"/>
    <w:rsid w:val="00156E70"/>
    <w:rsid w:val="00161130"/>
    <w:rsid w:val="001612BE"/>
    <w:rsid w:val="00162810"/>
    <w:rsid w:val="00162D06"/>
    <w:rsid w:val="00162DC8"/>
    <w:rsid w:val="0016408F"/>
    <w:rsid w:val="001643A8"/>
    <w:rsid w:val="001653E9"/>
    <w:rsid w:val="001659C1"/>
    <w:rsid w:val="00167307"/>
    <w:rsid w:val="00167DAA"/>
    <w:rsid w:val="00167DF6"/>
    <w:rsid w:val="00173A8E"/>
    <w:rsid w:val="00173DC4"/>
    <w:rsid w:val="001742AF"/>
    <w:rsid w:val="00175ED7"/>
    <w:rsid w:val="00177795"/>
    <w:rsid w:val="00177AD6"/>
    <w:rsid w:val="00177F29"/>
    <w:rsid w:val="0018143F"/>
    <w:rsid w:val="00182119"/>
    <w:rsid w:val="00182166"/>
    <w:rsid w:val="0018315D"/>
    <w:rsid w:val="00183871"/>
    <w:rsid w:val="00183FFE"/>
    <w:rsid w:val="0018403C"/>
    <w:rsid w:val="001845C7"/>
    <w:rsid w:val="00184CA9"/>
    <w:rsid w:val="00185AB4"/>
    <w:rsid w:val="00186A9D"/>
    <w:rsid w:val="00186D1B"/>
    <w:rsid w:val="001873DC"/>
    <w:rsid w:val="00190851"/>
    <w:rsid w:val="00190AC1"/>
    <w:rsid w:val="001923B8"/>
    <w:rsid w:val="0019341A"/>
    <w:rsid w:val="001946FC"/>
    <w:rsid w:val="00194C28"/>
    <w:rsid w:val="00196643"/>
    <w:rsid w:val="00197D2B"/>
    <w:rsid w:val="00197DF9"/>
    <w:rsid w:val="001A0F3E"/>
    <w:rsid w:val="001A1987"/>
    <w:rsid w:val="001A2564"/>
    <w:rsid w:val="001A3ED5"/>
    <w:rsid w:val="001A4229"/>
    <w:rsid w:val="001A4407"/>
    <w:rsid w:val="001A537E"/>
    <w:rsid w:val="001A6173"/>
    <w:rsid w:val="001A6CBA"/>
    <w:rsid w:val="001A7E4F"/>
    <w:rsid w:val="001B0D97"/>
    <w:rsid w:val="001B1CBB"/>
    <w:rsid w:val="001B27A1"/>
    <w:rsid w:val="001B39C0"/>
    <w:rsid w:val="001B447C"/>
    <w:rsid w:val="001B4A4C"/>
    <w:rsid w:val="001B4B09"/>
    <w:rsid w:val="001B5A5D"/>
    <w:rsid w:val="001B767D"/>
    <w:rsid w:val="001C1B62"/>
    <w:rsid w:val="001C1CE5"/>
    <w:rsid w:val="001C2D5A"/>
    <w:rsid w:val="001C3D2A"/>
    <w:rsid w:val="001C45D2"/>
    <w:rsid w:val="001C49E9"/>
    <w:rsid w:val="001C4FC2"/>
    <w:rsid w:val="001C5DDA"/>
    <w:rsid w:val="001C630C"/>
    <w:rsid w:val="001C6495"/>
    <w:rsid w:val="001C740C"/>
    <w:rsid w:val="001D04B4"/>
    <w:rsid w:val="001D0E2A"/>
    <w:rsid w:val="001D14D1"/>
    <w:rsid w:val="001D2CD0"/>
    <w:rsid w:val="001D5085"/>
    <w:rsid w:val="001D51BA"/>
    <w:rsid w:val="001D6342"/>
    <w:rsid w:val="001D6D53"/>
    <w:rsid w:val="001E1D03"/>
    <w:rsid w:val="001E24EE"/>
    <w:rsid w:val="001E2781"/>
    <w:rsid w:val="001E54F8"/>
    <w:rsid w:val="001E58E2"/>
    <w:rsid w:val="001E6246"/>
    <w:rsid w:val="001E72F4"/>
    <w:rsid w:val="001E7AED"/>
    <w:rsid w:val="001F1160"/>
    <w:rsid w:val="001F1850"/>
    <w:rsid w:val="001F3464"/>
    <w:rsid w:val="001F3916"/>
    <w:rsid w:val="001F474E"/>
    <w:rsid w:val="001F54C5"/>
    <w:rsid w:val="001F662C"/>
    <w:rsid w:val="001F7074"/>
    <w:rsid w:val="001F78A5"/>
    <w:rsid w:val="00200490"/>
    <w:rsid w:val="00200F2D"/>
    <w:rsid w:val="00201E6A"/>
    <w:rsid w:val="00201F3A"/>
    <w:rsid w:val="00203BB6"/>
    <w:rsid w:val="00203DDB"/>
    <w:rsid w:val="00203F96"/>
    <w:rsid w:val="00204209"/>
    <w:rsid w:val="00204556"/>
    <w:rsid w:val="002045AC"/>
    <w:rsid w:val="002049BB"/>
    <w:rsid w:val="00204A01"/>
    <w:rsid w:val="0020533D"/>
    <w:rsid w:val="002069B2"/>
    <w:rsid w:val="002079D0"/>
    <w:rsid w:val="00207FA3"/>
    <w:rsid w:val="0021081D"/>
    <w:rsid w:val="00212246"/>
    <w:rsid w:val="002147AB"/>
    <w:rsid w:val="00214DA8"/>
    <w:rsid w:val="002150C3"/>
    <w:rsid w:val="00215423"/>
    <w:rsid w:val="00215539"/>
    <w:rsid w:val="002158FA"/>
    <w:rsid w:val="00215FCF"/>
    <w:rsid w:val="00216EF7"/>
    <w:rsid w:val="00217C8C"/>
    <w:rsid w:val="00220600"/>
    <w:rsid w:val="00221181"/>
    <w:rsid w:val="002212C5"/>
    <w:rsid w:val="0022214F"/>
    <w:rsid w:val="002224DB"/>
    <w:rsid w:val="00223FCB"/>
    <w:rsid w:val="00224171"/>
    <w:rsid w:val="00224F33"/>
    <w:rsid w:val="002252C3"/>
    <w:rsid w:val="00225C54"/>
    <w:rsid w:val="002260F0"/>
    <w:rsid w:val="00227B94"/>
    <w:rsid w:val="00230765"/>
    <w:rsid w:val="00231398"/>
    <w:rsid w:val="002319E4"/>
    <w:rsid w:val="00231DC6"/>
    <w:rsid w:val="0023248E"/>
    <w:rsid w:val="00232E59"/>
    <w:rsid w:val="0023348B"/>
    <w:rsid w:val="00233F9E"/>
    <w:rsid w:val="00234EC0"/>
    <w:rsid w:val="0023560E"/>
    <w:rsid w:val="00235632"/>
    <w:rsid w:val="00235872"/>
    <w:rsid w:val="00237777"/>
    <w:rsid w:val="00237ECB"/>
    <w:rsid w:val="0024032A"/>
    <w:rsid w:val="00241559"/>
    <w:rsid w:val="00241AD2"/>
    <w:rsid w:val="00242EF6"/>
    <w:rsid w:val="002435B3"/>
    <w:rsid w:val="00243909"/>
    <w:rsid w:val="00244FAE"/>
    <w:rsid w:val="002452E2"/>
    <w:rsid w:val="002458EB"/>
    <w:rsid w:val="002469B2"/>
    <w:rsid w:val="00246A54"/>
    <w:rsid w:val="0024748C"/>
    <w:rsid w:val="002476E4"/>
    <w:rsid w:val="00247F10"/>
    <w:rsid w:val="002500C8"/>
    <w:rsid w:val="0025202F"/>
    <w:rsid w:val="00252D94"/>
    <w:rsid w:val="002535F7"/>
    <w:rsid w:val="002538ED"/>
    <w:rsid w:val="00254CFC"/>
    <w:rsid w:val="00257543"/>
    <w:rsid w:val="002579EF"/>
    <w:rsid w:val="002617E7"/>
    <w:rsid w:val="00261FC8"/>
    <w:rsid w:val="0026330C"/>
    <w:rsid w:val="00264228"/>
    <w:rsid w:val="00264334"/>
    <w:rsid w:val="002644BF"/>
    <w:rsid w:val="0026470B"/>
    <w:rsid w:val="0026473E"/>
    <w:rsid w:val="00264AC9"/>
    <w:rsid w:val="00264E20"/>
    <w:rsid w:val="00266214"/>
    <w:rsid w:val="002675BA"/>
    <w:rsid w:val="00267C83"/>
    <w:rsid w:val="002713A3"/>
    <w:rsid w:val="0027144F"/>
    <w:rsid w:val="002715E2"/>
    <w:rsid w:val="00271B09"/>
    <w:rsid w:val="00271D0E"/>
    <w:rsid w:val="00271F3A"/>
    <w:rsid w:val="00272C78"/>
    <w:rsid w:val="00273278"/>
    <w:rsid w:val="002737F4"/>
    <w:rsid w:val="00276717"/>
    <w:rsid w:val="0027761F"/>
    <w:rsid w:val="00277AB1"/>
    <w:rsid w:val="002805F5"/>
    <w:rsid w:val="00280751"/>
    <w:rsid w:val="00281025"/>
    <w:rsid w:val="00281D02"/>
    <w:rsid w:val="0028280A"/>
    <w:rsid w:val="002857EE"/>
    <w:rsid w:val="00285CB3"/>
    <w:rsid w:val="002861EC"/>
    <w:rsid w:val="00286557"/>
    <w:rsid w:val="002868AF"/>
    <w:rsid w:val="00286ACD"/>
    <w:rsid w:val="002876B1"/>
    <w:rsid w:val="00287838"/>
    <w:rsid w:val="0028794E"/>
    <w:rsid w:val="00290227"/>
    <w:rsid w:val="002907B5"/>
    <w:rsid w:val="002914C9"/>
    <w:rsid w:val="002922F8"/>
    <w:rsid w:val="00292EB7"/>
    <w:rsid w:val="00293A9A"/>
    <w:rsid w:val="002940AD"/>
    <w:rsid w:val="00294224"/>
    <w:rsid w:val="00296227"/>
    <w:rsid w:val="00296572"/>
    <w:rsid w:val="00296F44"/>
    <w:rsid w:val="00296FD3"/>
    <w:rsid w:val="0029777D"/>
    <w:rsid w:val="002A055E"/>
    <w:rsid w:val="002A191F"/>
    <w:rsid w:val="002A19CF"/>
    <w:rsid w:val="002A1D4E"/>
    <w:rsid w:val="002A2869"/>
    <w:rsid w:val="002A302C"/>
    <w:rsid w:val="002A3D81"/>
    <w:rsid w:val="002A44FE"/>
    <w:rsid w:val="002A5D38"/>
    <w:rsid w:val="002B03C5"/>
    <w:rsid w:val="002B1F3D"/>
    <w:rsid w:val="002B24D6"/>
    <w:rsid w:val="002B302C"/>
    <w:rsid w:val="002B454E"/>
    <w:rsid w:val="002B5466"/>
    <w:rsid w:val="002C2839"/>
    <w:rsid w:val="002C41E6"/>
    <w:rsid w:val="002C5E57"/>
    <w:rsid w:val="002C6028"/>
    <w:rsid w:val="002C6F59"/>
    <w:rsid w:val="002D071A"/>
    <w:rsid w:val="002D264C"/>
    <w:rsid w:val="002D2DD3"/>
    <w:rsid w:val="002D34B2"/>
    <w:rsid w:val="002D35DD"/>
    <w:rsid w:val="002D4D43"/>
    <w:rsid w:val="002D54C1"/>
    <w:rsid w:val="002D5DA9"/>
    <w:rsid w:val="002D6960"/>
    <w:rsid w:val="002D7637"/>
    <w:rsid w:val="002E1590"/>
    <w:rsid w:val="002E17F2"/>
    <w:rsid w:val="002E2949"/>
    <w:rsid w:val="002E2959"/>
    <w:rsid w:val="002E2ED2"/>
    <w:rsid w:val="002E3828"/>
    <w:rsid w:val="002E7CAE"/>
    <w:rsid w:val="002F1772"/>
    <w:rsid w:val="002F2771"/>
    <w:rsid w:val="002F2E75"/>
    <w:rsid w:val="002F37A9"/>
    <w:rsid w:val="002F4B3F"/>
    <w:rsid w:val="002F537B"/>
    <w:rsid w:val="002F5CF5"/>
    <w:rsid w:val="002F62F8"/>
    <w:rsid w:val="002F6415"/>
    <w:rsid w:val="002F734C"/>
    <w:rsid w:val="00300984"/>
    <w:rsid w:val="00300A25"/>
    <w:rsid w:val="00301CE6"/>
    <w:rsid w:val="00301FEC"/>
    <w:rsid w:val="0030256B"/>
    <w:rsid w:val="00303C2E"/>
    <w:rsid w:val="003045F1"/>
    <w:rsid w:val="00304EC3"/>
    <w:rsid w:val="0030501F"/>
    <w:rsid w:val="0030552A"/>
    <w:rsid w:val="003064D1"/>
    <w:rsid w:val="00307BA1"/>
    <w:rsid w:val="00310DA9"/>
    <w:rsid w:val="00311702"/>
    <w:rsid w:val="00311E82"/>
    <w:rsid w:val="00312418"/>
    <w:rsid w:val="003124DD"/>
    <w:rsid w:val="003125B9"/>
    <w:rsid w:val="00313FD6"/>
    <w:rsid w:val="003143BD"/>
    <w:rsid w:val="003144E0"/>
    <w:rsid w:val="003146BB"/>
    <w:rsid w:val="00317F0D"/>
    <w:rsid w:val="003203ED"/>
    <w:rsid w:val="00320514"/>
    <w:rsid w:val="00321566"/>
    <w:rsid w:val="0032246E"/>
    <w:rsid w:val="00322C9F"/>
    <w:rsid w:val="003249DA"/>
    <w:rsid w:val="00324D23"/>
    <w:rsid w:val="003264A9"/>
    <w:rsid w:val="00326E3C"/>
    <w:rsid w:val="0032712D"/>
    <w:rsid w:val="00330E2A"/>
    <w:rsid w:val="00331318"/>
    <w:rsid w:val="00331751"/>
    <w:rsid w:val="00332EFF"/>
    <w:rsid w:val="0033335E"/>
    <w:rsid w:val="00333FB7"/>
    <w:rsid w:val="0033449F"/>
    <w:rsid w:val="00334579"/>
    <w:rsid w:val="003349E3"/>
    <w:rsid w:val="00335858"/>
    <w:rsid w:val="003361E6"/>
    <w:rsid w:val="00336BDA"/>
    <w:rsid w:val="003415C6"/>
    <w:rsid w:val="00342BD7"/>
    <w:rsid w:val="00343A07"/>
    <w:rsid w:val="003456F2"/>
    <w:rsid w:val="00346DB5"/>
    <w:rsid w:val="003477B1"/>
    <w:rsid w:val="00347837"/>
    <w:rsid w:val="0035041D"/>
    <w:rsid w:val="00351F1F"/>
    <w:rsid w:val="00352CF8"/>
    <w:rsid w:val="00352EE3"/>
    <w:rsid w:val="00353500"/>
    <w:rsid w:val="0035482C"/>
    <w:rsid w:val="00354D9B"/>
    <w:rsid w:val="00354F4A"/>
    <w:rsid w:val="003551A6"/>
    <w:rsid w:val="00356CE0"/>
    <w:rsid w:val="00356EE7"/>
    <w:rsid w:val="00357380"/>
    <w:rsid w:val="003602D9"/>
    <w:rsid w:val="003604CE"/>
    <w:rsid w:val="003624A7"/>
    <w:rsid w:val="00362620"/>
    <w:rsid w:val="003637BC"/>
    <w:rsid w:val="00363AFF"/>
    <w:rsid w:val="003650A7"/>
    <w:rsid w:val="00365722"/>
    <w:rsid w:val="0036671D"/>
    <w:rsid w:val="00367C07"/>
    <w:rsid w:val="00370E47"/>
    <w:rsid w:val="00373052"/>
    <w:rsid w:val="0037320D"/>
    <w:rsid w:val="003742AC"/>
    <w:rsid w:val="0037495D"/>
    <w:rsid w:val="003778AC"/>
    <w:rsid w:val="00377CE1"/>
    <w:rsid w:val="00384470"/>
    <w:rsid w:val="003845C0"/>
    <w:rsid w:val="0038468C"/>
    <w:rsid w:val="003848D8"/>
    <w:rsid w:val="003853F2"/>
    <w:rsid w:val="003859B1"/>
    <w:rsid w:val="00385BF0"/>
    <w:rsid w:val="003862D6"/>
    <w:rsid w:val="00386687"/>
    <w:rsid w:val="00387804"/>
    <w:rsid w:val="00387B0E"/>
    <w:rsid w:val="0039178D"/>
    <w:rsid w:val="003939FF"/>
    <w:rsid w:val="00397B5F"/>
    <w:rsid w:val="003A198B"/>
    <w:rsid w:val="003A2223"/>
    <w:rsid w:val="003A2A0F"/>
    <w:rsid w:val="003A2B3B"/>
    <w:rsid w:val="003A3227"/>
    <w:rsid w:val="003A4475"/>
    <w:rsid w:val="003A45A1"/>
    <w:rsid w:val="003A49AD"/>
    <w:rsid w:val="003A5B0A"/>
    <w:rsid w:val="003A6BAC"/>
    <w:rsid w:val="003A722C"/>
    <w:rsid w:val="003A7287"/>
    <w:rsid w:val="003A7EF3"/>
    <w:rsid w:val="003A7FEF"/>
    <w:rsid w:val="003B159C"/>
    <w:rsid w:val="003B1B9B"/>
    <w:rsid w:val="003B2042"/>
    <w:rsid w:val="003B282F"/>
    <w:rsid w:val="003B2EFB"/>
    <w:rsid w:val="003B3371"/>
    <w:rsid w:val="003B369F"/>
    <w:rsid w:val="003B36A3"/>
    <w:rsid w:val="003B7FE5"/>
    <w:rsid w:val="003C0C3F"/>
    <w:rsid w:val="003C0EDF"/>
    <w:rsid w:val="003C11C8"/>
    <w:rsid w:val="003C259A"/>
    <w:rsid w:val="003C2702"/>
    <w:rsid w:val="003C2EDC"/>
    <w:rsid w:val="003C3296"/>
    <w:rsid w:val="003C4B9A"/>
    <w:rsid w:val="003C5A44"/>
    <w:rsid w:val="003C7572"/>
    <w:rsid w:val="003C7806"/>
    <w:rsid w:val="003C7D5C"/>
    <w:rsid w:val="003D109F"/>
    <w:rsid w:val="003D22FD"/>
    <w:rsid w:val="003D2478"/>
    <w:rsid w:val="003D2FC4"/>
    <w:rsid w:val="003D3C45"/>
    <w:rsid w:val="003D4B64"/>
    <w:rsid w:val="003D5B1F"/>
    <w:rsid w:val="003E15FA"/>
    <w:rsid w:val="003E2F58"/>
    <w:rsid w:val="003E3BA9"/>
    <w:rsid w:val="003E3CB9"/>
    <w:rsid w:val="003E55E4"/>
    <w:rsid w:val="003E7048"/>
    <w:rsid w:val="003E74E3"/>
    <w:rsid w:val="003E7571"/>
    <w:rsid w:val="003E7637"/>
    <w:rsid w:val="003E782B"/>
    <w:rsid w:val="003E7C2A"/>
    <w:rsid w:val="003F05C7"/>
    <w:rsid w:val="003F0C87"/>
    <w:rsid w:val="003F180E"/>
    <w:rsid w:val="003F2C01"/>
    <w:rsid w:val="003F2CD4"/>
    <w:rsid w:val="003F3681"/>
    <w:rsid w:val="003F55BB"/>
    <w:rsid w:val="003F5AA8"/>
    <w:rsid w:val="003F6BBE"/>
    <w:rsid w:val="003F7198"/>
    <w:rsid w:val="003F7440"/>
    <w:rsid w:val="004000E8"/>
    <w:rsid w:val="004005A1"/>
    <w:rsid w:val="00400CF3"/>
    <w:rsid w:val="004013D9"/>
    <w:rsid w:val="00401E84"/>
    <w:rsid w:val="00402479"/>
    <w:rsid w:val="00402776"/>
    <w:rsid w:val="00402E2B"/>
    <w:rsid w:val="00403106"/>
    <w:rsid w:val="0040419E"/>
    <w:rsid w:val="0040512B"/>
    <w:rsid w:val="004052E9"/>
    <w:rsid w:val="00405CA5"/>
    <w:rsid w:val="0040655E"/>
    <w:rsid w:val="004070F4"/>
    <w:rsid w:val="004077F5"/>
    <w:rsid w:val="00407CD3"/>
    <w:rsid w:val="00410134"/>
    <w:rsid w:val="00410B72"/>
    <w:rsid w:val="00410D84"/>
    <w:rsid w:val="00410F18"/>
    <w:rsid w:val="0041116D"/>
    <w:rsid w:val="004117BF"/>
    <w:rsid w:val="0041257F"/>
    <w:rsid w:val="0041263E"/>
    <w:rsid w:val="00412A89"/>
    <w:rsid w:val="0041342A"/>
    <w:rsid w:val="00413AAC"/>
    <w:rsid w:val="00416AF1"/>
    <w:rsid w:val="00416B91"/>
    <w:rsid w:val="00416CBB"/>
    <w:rsid w:val="00417774"/>
    <w:rsid w:val="0042025A"/>
    <w:rsid w:val="00421105"/>
    <w:rsid w:val="00421891"/>
    <w:rsid w:val="00421BB6"/>
    <w:rsid w:val="0042258E"/>
    <w:rsid w:val="004225DE"/>
    <w:rsid w:val="00422B0E"/>
    <w:rsid w:val="004242F4"/>
    <w:rsid w:val="00424E2F"/>
    <w:rsid w:val="004264F6"/>
    <w:rsid w:val="00427248"/>
    <w:rsid w:val="00427505"/>
    <w:rsid w:val="004275F8"/>
    <w:rsid w:val="00431172"/>
    <w:rsid w:val="00432345"/>
    <w:rsid w:val="00432E26"/>
    <w:rsid w:val="00433FD2"/>
    <w:rsid w:val="00434B87"/>
    <w:rsid w:val="00435F69"/>
    <w:rsid w:val="004361DF"/>
    <w:rsid w:val="004366C6"/>
    <w:rsid w:val="00437379"/>
    <w:rsid w:val="00437447"/>
    <w:rsid w:val="00441254"/>
    <w:rsid w:val="00441A92"/>
    <w:rsid w:val="0044367B"/>
    <w:rsid w:val="0044376B"/>
    <w:rsid w:val="004440CB"/>
    <w:rsid w:val="00444452"/>
    <w:rsid w:val="00444F56"/>
    <w:rsid w:val="00446488"/>
    <w:rsid w:val="004474AE"/>
    <w:rsid w:val="004500C7"/>
    <w:rsid w:val="004517AA"/>
    <w:rsid w:val="004519BB"/>
    <w:rsid w:val="00452CAC"/>
    <w:rsid w:val="004559F0"/>
    <w:rsid w:val="00457565"/>
    <w:rsid w:val="00457B71"/>
    <w:rsid w:val="00460196"/>
    <w:rsid w:val="004605D6"/>
    <w:rsid w:val="0046079B"/>
    <w:rsid w:val="004610DD"/>
    <w:rsid w:val="00463AD3"/>
    <w:rsid w:val="00463C70"/>
    <w:rsid w:val="00464A6F"/>
    <w:rsid w:val="0046533A"/>
    <w:rsid w:val="004654D2"/>
    <w:rsid w:val="00465BF2"/>
    <w:rsid w:val="00465F3A"/>
    <w:rsid w:val="00466632"/>
    <w:rsid w:val="00466887"/>
    <w:rsid w:val="004669E2"/>
    <w:rsid w:val="004679EC"/>
    <w:rsid w:val="00470C31"/>
    <w:rsid w:val="004734D0"/>
    <w:rsid w:val="0047556B"/>
    <w:rsid w:val="004758FB"/>
    <w:rsid w:val="00477768"/>
    <w:rsid w:val="0048053B"/>
    <w:rsid w:val="004828AB"/>
    <w:rsid w:val="004835D3"/>
    <w:rsid w:val="0048463E"/>
    <w:rsid w:val="00484933"/>
    <w:rsid w:val="00484A5A"/>
    <w:rsid w:val="004857A9"/>
    <w:rsid w:val="0048702E"/>
    <w:rsid w:val="0048719C"/>
    <w:rsid w:val="00487F08"/>
    <w:rsid w:val="00490937"/>
    <w:rsid w:val="0049102C"/>
    <w:rsid w:val="00491BF1"/>
    <w:rsid w:val="00492BC5"/>
    <w:rsid w:val="004964F1"/>
    <w:rsid w:val="00496BA5"/>
    <w:rsid w:val="00497577"/>
    <w:rsid w:val="00497E9D"/>
    <w:rsid w:val="004A01DF"/>
    <w:rsid w:val="004A0951"/>
    <w:rsid w:val="004A16BC"/>
    <w:rsid w:val="004A2818"/>
    <w:rsid w:val="004A2B94"/>
    <w:rsid w:val="004A39ED"/>
    <w:rsid w:val="004A4761"/>
    <w:rsid w:val="004A4875"/>
    <w:rsid w:val="004A6143"/>
    <w:rsid w:val="004A629A"/>
    <w:rsid w:val="004A698E"/>
    <w:rsid w:val="004B05A0"/>
    <w:rsid w:val="004B1F18"/>
    <w:rsid w:val="004B22B7"/>
    <w:rsid w:val="004B3C65"/>
    <w:rsid w:val="004B50BA"/>
    <w:rsid w:val="004B5D74"/>
    <w:rsid w:val="004B5DFB"/>
    <w:rsid w:val="004B638B"/>
    <w:rsid w:val="004B7C0C"/>
    <w:rsid w:val="004C3898"/>
    <w:rsid w:val="004C5D6F"/>
    <w:rsid w:val="004C63EF"/>
    <w:rsid w:val="004D10EF"/>
    <w:rsid w:val="004D36B1"/>
    <w:rsid w:val="004D3E3F"/>
    <w:rsid w:val="004D43E9"/>
    <w:rsid w:val="004D639C"/>
    <w:rsid w:val="004D7323"/>
    <w:rsid w:val="004D7767"/>
    <w:rsid w:val="004D7EBD"/>
    <w:rsid w:val="004E100F"/>
    <w:rsid w:val="004E13DA"/>
    <w:rsid w:val="004E246C"/>
    <w:rsid w:val="004E2680"/>
    <w:rsid w:val="004E28F9"/>
    <w:rsid w:val="004E2EAB"/>
    <w:rsid w:val="004E462E"/>
    <w:rsid w:val="004E4EF6"/>
    <w:rsid w:val="004E56DC"/>
    <w:rsid w:val="004E6A29"/>
    <w:rsid w:val="004E75CF"/>
    <w:rsid w:val="004E76F4"/>
    <w:rsid w:val="004E7B15"/>
    <w:rsid w:val="004F0100"/>
    <w:rsid w:val="004F0707"/>
    <w:rsid w:val="004F0B4E"/>
    <w:rsid w:val="004F0B6C"/>
    <w:rsid w:val="004F2078"/>
    <w:rsid w:val="004F27ED"/>
    <w:rsid w:val="004F322A"/>
    <w:rsid w:val="004F3B8A"/>
    <w:rsid w:val="004F3DC0"/>
    <w:rsid w:val="004F4553"/>
    <w:rsid w:val="004F4886"/>
    <w:rsid w:val="004F4DA3"/>
    <w:rsid w:val="004F537A"/>
    <w:rsid w:val="004F6706"/>
    <w:rsid w:val="00500510"/>
    <w:rsid w:val="00501842"/>
    <w:rsid w:val="00503B80"/>
    <w:rsid w:val="00504A82"/>
    <w:rsid w:val="00504F96"/>
    <w:rsid w:val="00505175"/>
    <w:rsid w:val="00506557"/>
    <w:rsid w:val="0050677A"/>
    <w:rsid w:val="00506C00"/>
    <w:rsid w:val="0051063F"/>
    <w:rsid w:val="005108D8"/>
    <w:rsid w:val="005116F9"/>
    <w:rsid w:val="00513E72"/>
    <w:rsid w:val="005153A7"/>
    <w:rsid w:val="005159E9"/>
    <w:rsid w:val="00515C60"/>
    <w:rsid w:val="00516519"/>
    <w:rsid w:val="0051756B"/>
    <w:rsid w:val="00517A22"/>
    <w:rsid w:val="00520DCD"/>
    <w:rsid w:val="005219CF"/>
    <w:rsid w:val="00522DE6"/>
    <w:rsid w:val="0052382C"/>
    <w:rsid w:val="00527E38"/>
    <w:rsid w:val="00531744"/>
    <w:rsid w:val="0053217E"/>
    <w:rsid w:val="00534B59"/>
    <w:rsid w:val="00534BA5"/>
    <w:rsid w:val="00536575"/>
    <w:rsid w:val="00536759"/>
    <w:rsid w:val="00537C62"/>
    <w:rsid w:val="00541665"/>
    <w:rsid w:val="00543109"/>
    <w:rsid w:val="00543273"/>
    <w:rsid w:val="00544194"/>
    <w:rsid w:val="00546970"/>
    <w:rsid w:val="00550138"/>
    <w:rsid w:val="0055036B"/>
    <w:rsid w:val="0055197A"/>
    <w:rsid w:val="00551DE0"/>
    <w:rsid w:val="00553BB2"/>
    <w:rsid w:val="00554072"/>
    <w:rsid w:val="00554E19"/>
    <w:rsid w:val="00554E31"/>
    <w:rsid w:val="00555135"/>
    <w:rsid w:val="00555DC3"/>
    <w:rsid w:val="00557661"/>
    <w:rsid w:val="0056121F"/>
    <w:rsid w:val="00565D06"/>
    <w:rsid w:val="005677F6"/>
    <w:rsid w:val="00567CBB"/>
    <w:rsid w:val="00572505"/>
    <w:rsid w:val="0057284C"/>
    <w:rsid w:val="00572ED4"/>
    <w:rsid w:val="00573164"/>
    <w:rsid w:val="0057638B"/>
    <w:rsid w:val="00576600"/>
    <w:rsid w:val="005801CC"/>
    <w:rsid w:val="00580D94"/>
    <w:rsid w:val="005813E8"/>
    <w:rsid w:val="00581616"/>
    <w:rsid w:val="0058268A"/>
    <w:rsid w:val="00582809"/>
    <w:rsid w:val="00583FB1"/>
    <w:rsid w:val="00586800"/>
    <w:rsid w:val="00586EFB"/>
    <w:rsid w:val="0058717D"/>
    <w:rsid w:val="005874AB"/>
    <w:rsid w:val="0058798C"/>
    <w:rsid w:val="005900FA"/>
    <w:rsid w:val="0059247E"/>
    <w:rsid w:val="00592C88"/>
    <w:rsid w:val="005935A4"/>
    <w:rsid w:val="00594117"/>
    <w:rsid w:val="00594541"/>
    <w:rsid w:val="00594615"/>
    <w:rsid w:val="005948C2"/>
    <w:rsid w:val="00595DCA"/>
    <w:rsid w:val="0059779B"/>
    <w:rsid w:val="005A02D2"/>
    <w:rsid w:val="005A17F9"/>
    <w:rsid w:val="005A209A"/>
    <w:rsid w:val="005A45E2"/>
    <w:rsid w:val="005A548F"/>
    <w:rsid w:val="005A662D"/>
    <w:rsid w:val="005A6C9C"/>
    <w:rsid w:val="005B0685"/>
    <w:rsid w:val="005B07DA"/>
    <w:rsid w:val="005B2249"/>
    <w:rsid w:val="005B35D7"/>
    <w:rsid w:val="005B392A"/>
    <w:rsid w:val="005B3AA3"/>
    <w:rsid w:val="005B3D69"/>
    <w:rsid w:val="005B6EB2"/>
    <w:rsid w:val="005B6F83"/>
    <w:rsid w:val="005C4334"/>
    <w:rsid w:val="005C4786"/>
    <w:rsid w:val="005C6118"/>
    <w:rsid w:val="005C73B9"/>
    <w:rsid w:val="005C74FB"/>
    <w:rsid w:val="005D0193"/>
    <w:rsid w:val="005D1602"/>
    <w:rsid w:val="005D324E"/>
    <w:rsid w:val="005D4D46"/>
    <w:rsid w:val="005D6010"/>
    <w:rsid w:val="005D66AA"/>
    <w:rsid w:val="005E1270"/>
    <w:rsid w:val="005E1375"/>
    <w:rsid w:val="005E2778"/>
    <w:rsid w:val="005E2867"/>
    <w:rsid w:val="005E385F"/>
    <w:rsid w:val="005E4CF0"/>
    <w:rsid w:val="005E5B81"/>
    <w:rsid w:val="005F2CB1"/>
    <w:rsid w:val="005F3025"/>
    <w:rsid w:val="005F34A2"/>
    <w:rsid w:val="005F4D55"/>
    <w:rsid w:val="005F4F91"/>
    <w:rsid w:val="005F534A"/>
    <w:rsid w:val="005F618C"/>
    <w:rsid w:val="005F6576"/>
    <w:rsid w:val="005F685F"/>
    <w:rsid w:val="005F6EA9"/>
    <w:rsid w:val="005F70BD"/>
    <w:rsid w:val="0060004D"/>
    <w:rsid w:val="00601F24"/>
    <w:rsid w:val="0060283C"/>
    <w:rsid w:val="00602A02"/>
    <w:rsid w:val="00603AEA"/>
    <w:rsid w:val="00604F14"/>
    <w:rsid w:val="00607B82"/>
    <w:rsid w:val="00611407"/>
    <w:rsid w:val="00611A66"/>
    <w:rsid w:val="00611B83"/>
    <w:rsid w:val="00612083"/>
    <w:rsid w:val="00613257"/>
    <w:rsid w:val="0061366E"/>
    <w:rsid w:val="00620A71"/>
    <w:rsid w:val="00620D80"/>
    <w:rsid w:val="006230D4"/>
    <w:rsid w:val="006234A6"/>
    <w:rsid w:val="00624001"/>
    <w:rsid w:val="00624D23"/>
    <w:rsid w:val="00625113"/>
    <w:rsid w:val="00626453"/>
    <w:rsid w:val="00626801"/>
    <w:rsid w:val="00630001"/>
    <w:rsid w:val="00631154"/>
    <w:rsid w:val="006311B3"/>
    <w:rsid w:val="006323AD"/>
    <w:rsid w:val="0063284C"/>
    <w:rsid w:val="00632A89"/>
    <w:rsid w:val="0063458F"/>
    <w:rsid w:val="00636398"/>
    <w:rsid w:val="006368D3"/>
    <w:rsid w:val="006377EC"/>
    <w:rsid w:val="0064151F"/>
    <w:rsid w:val="00641533"/>
    <w:rsid w:val="0064208D"/>
    <w:rsid w:val="00643029"/>
    <w:rsid w:val="006430C2"/>
    <w:rsid w:val="00643475"/>
    <w:rsid w:val="0064396A"/>
    <w:rsid w:val="0064624E"/>
    <w:rsid w:val="006474E6"/>
    <w:rsid w:val="00650AB9"/>
    <w:rsid w:val="00653514"/>
    <w:rsid w:val="00655733"/>
    <w:rsid w:val="00655ACD"/>
    <w:rsid w:val="00656A92"/>
    <w:rsid w:val="00656DDE"/>
    <w:rsid w:val="0065798E"/>
    <w:rsid w:val="0066011D"/>
    <w:rsid w:val="006607C0"/>
    <w:rsid w:val="00661244"/>
    <w:rsid w:val="006613A6"/>
    <w:rsid w:val="0066192C"/>
    <w:rsid w:val="00661FA5"/>
    <w:rsid w:val="0066233C"/>
    <w:rsid w:val="006627A2"/>
    <w:rsid w:val="006628B3"/>
    <w:rsid w:val="006634E6"/>
    <w:rsid w:val="006655EE"/>
    <w:rsid w:val="00665DEC"/>
    <w:rsid w:val="00665F7E"/>
    <w:rsid w:val="00666A13"/>
    <w:rsid w:val="00667791"/>
    <w:rsid w:val="00667EE7"/>
    <w:rsid w:val="00670922"/>
    <w:rsid w:val="00670BE1"/>
    <w:rsid w:val="00670F2C"/>
    <w:rsid w:val="00671F93"/>
    <w:rsid w:val="0067218F"/>
    <w:rsid w:val="0067380D"/>
    <w:rsid w:val="006741F2"/>
    <w:rsid w:val="006746C4"/>
    <w:rsid w:val="00674CC3"/>
    <w:rsid w:val="00675C72"/>
    <w:rsid w:val="00676156"/>
    <w:rsid w:val="006771F9"/>
    <w:rsid w:val="0067722D"/>
    <w:rsid w:val="006776D7"/>
    <w:rsid w:val="00680823"/>
    <w:rsid w:val="00681003"/>
    <w:rsid w:val="006817C9"/>
    <w:rsid w:val="00683694"/>
    <w:rsid w:val="00683D6E"/>
    <w:rsid w:val="00683ECE"/>
    <w:rsid w:val="006849FE"/>
    <w:rsid w:val="006853AC"/>
    <w:rsid w:val="00685485"/>
    <w:rsid w:val="006855AF"/>
    <w:rsid w:val="0068568D"/>
    <w:rsid w:val="006857B2"/>
    <w:rsid w:val="00690A89"/>
    <w:rsid w:val="006926FD"/>
    <w:rsid w:val="0069398B"/>
    <w:rsid w:val="00694CE1"/>
    <w:rsid w:val="00695435"/>
    <w:rsid w:val="00695FC2"/>
    <w:rsid w:val="0069686B"/>
    <w:rsid w:val="00696949"/>
    <w:rsid w:val="00697052"/>
    <w:rsid w:val="006A01F7"/>
    <w:rsid w:val="006A2550"/>
    <w:rsid w:val="006A336C"/>
    <w:rsid w:val="006A46FB"/>
    <w:rsid w:val="006A5E28"/>
    <w:rsid w:val="006A697B"/>
    <w:rsid w:val="006A6C57"/>
    <w:rsid w:val="006A717D"/>
    <w:rsid w:val="006A7AFF"/>
    <w:rsid w:val="006B08A9"/>
    <w:rsid w:val="006B0CBF"/>
    <w:rsid w:val="006B1816"/>
    <w:rsid w:val="006B2099"/>
    <w:rsid w:val="006B26C3"/>
    <w:rsid w:val="006B43D2"/>
    <w:rsid w:val="006B4E8B"/>
    <w:rsid w:val="006B50CF"/>
    <w:rsid w:val="006B51A3"/>
    <w:rsid w:val="006C0111"/>
    <w:rsid w:val="006C03B8"/>
    <w:rsid w:val="006C301D"/>
    <w:rsid w:val="006C32A4"/>
    <w:rsid w:val="006C4142"/>
    <w:rsid w:val="006C4E3C"/>
    <w:rsid w:val="006C546D"/>
    <w:rsid w:val="006C5EC9"/>
    <w:rsid w:val="006C6059"/>
    <w:rsid w:val="006C6272"/>
    <w:rsid w:val="006C7522"/>
    <w:rsid w:val="006C7642"/>
    <w:rsid w:val="006D06D6"/>
    <w:rsid w:val="006D1E3E"/>
    <w:rsid w:val="006D1FF6"/>
    <w:rsid w:val="006D2B1F"/>
    <w:rsid w:val="006D3470"/>
    <w:rsid w:val="006D46F2"/>
    <w:rsid w:val="006D59B7"/>
    <w:rsid w:val="006D5FD6"/>
    <w:rsid w:val="006D6B57"/>
    <w:rsid w:val="006D6F08"/>
    <w:rsid w:val="006E062C"/>
    <w:rsid w:val="006E1568"/>
    <w:rsid w:val="006E20F7"/>
    <w:rsid w:val="006E28B7"/>
    <w:rsid w:val="006E3310"/>
    <w:rsid w:val="006E3333"/>
    <w:rsid w:val="006E4E39"/>
    <w:rsid w:val="006E565E"/>
    <w:rsid w:val="006E5EFF"/>
    <w:rsid w:val="006E6037"/>
    <w:rsid w:val="006E66E9"/>
    <w:rsid w:val="006E673D"/>
    <w:rsid w:val="006E7D3B"/>
    <w:rsid w:val="006F0442"/>
    <w:rsid w:val="006F1B70"/>
    <w:rsid w:val="006F24E1"/>
    <w:rsid w:val="006F2EAD"/>
    <w:rsid w:val="006F341D"/>
    <w:rsid w:val="006F3CDE"/>
    <w:rsid w:val="006F4BE9"/>
    <w:rsid w:val="006F5797"/>
    <w:rsid w:val="006F58D4"/>
    <w:rsid w:val="006F792A"/>
    <w:rsid w:val="006F7CC0"/>
    <w:rsid w:val="0070346E"/>
    <w:rsid w:val="0070406B"/>
    <w:rsid w:val="007048F3"/>
    <w:rsid w:val="00704EBD"/>
    <w:rsid w:val="00704EDB"/>
    <w:rsid w:val="0070517A"/>
    <w:rsid w:val="0070537F"/>
    <w:rsid w:val="007058F6"/>
    <w:rsid w:val="00705E04"/>
    <w:rsid w:val="00706101"/>
    <w:rsid w:val="00706887"/>
    <w:rsid w:val="00707072"/>
    <w:rsid w:val="00707327"/>
    <w:rsid w:val="007078AD"/>
    <w:rsid w:val="00707D61"/>
    <w:rsid w:val="00710B01"/>
    <w:rsid w:val="00710CF2"/>
    <w:rsid w:val="00710FC3"/>
    <w:rsid w:val="00712287"/>
    <w:rsid w:val="00712772"/>
    <w:rsid w:val="007148D3"/>
    <w:rsid w:val="00715B9A"/>
    <w:rsid w:val="00716151"/>
    <w:rsid w:val="0071618B"/>
    <w:rsid w:val="0071792B"/>
    <w:rsid w:val="007202AF"/>
    <w:rsid w:val="00720A6E"/>
    <w:rsid w:val="00720DDB"/>
    <w:rsid w:val="00720DEA"/>
    <w:rsid w:val="007210FA"/>
    <w:rsid w:val="00721593"/>
    <w:rsid w:val="007237B8"/>
    <w:rsid w:val="007237D3"/>
    <w:rsid w:val="0072449F"/>
    <w:rsid w:val="00724E19"/>
    <w:rsid w:val="00725EB5"/>
    <w:rsid w:val="00726598"/>
    <w:rsid w:val="0072668B"/>
    <w:rsid w:val="00726B49"/>
    <w:rsid w:val="00726EA6"/>
    <w:rsid w:val="00727208"/>
    <w:rsid w:val="00727680"/>
    <w:rsid w:val="0072791D"/>
    <w:rsid w:val="00731520"/>
    <w:rsid w:val="007322C3"/>
    <w:rsid w:val="00732396"/>
    <w:rsid w:val="007348B1"/>
    <w:rsid w:val="00734B23"/>
    <w:rsid w:val="00735100"/>
    <w:rsid w:val="0073595D"/>
    <w:rsid w:val="007362A6"/>
    <w:rsid w:val="00736449"/>
    <w:rsid w:val="00736D7D"/>
    <w:rsid w:val="00737BBC"/>
    <w:rsid w:val="00740E58"/>
    <w:rsid w:val="007445A0"/>
    <w:rsid w:val="0074524B"/>
    <w:rsid w:val="00747D8B"/>
    <w:rsid w:val="00747F46"/>
    <w:rsid w:val="0075003B"/>
    <w:rsid w:val="00750A5C"/>
    <w:rsid w:val="00751228"/>
    <w:rsid w:val="00752A0D"/>
    <w:rsid w:val="0075537C"/>
    <w:rsid w:val="0075556E"/>
    <w:rsid w:val="00755898"/>
    <w:rsid w:val="00756CEC"/>
    <w:rsid w:val="007571E1"/>
    <w:rsid w:val="0075765A"/>
    <w:rsid w:val="007578B2"/>
    <w:rsid w:val="007604B2"/>
    <w:rsid w:val="007611D1"/>
    <w:rsid w:val="00761C3F"/>
    <w:rsid w:val="00761F8E"/>
    <w:rsid w:val="00762B93"/>
    <w:rsid w:val="00764779"/>
    <w:rsid w:val="00764F83"/>
    <w:rsid w:val="00765281"/>
    <w:rsid w:val="007669E8"/>
    <w:rsid w:val="00766BAD"/>
    <w:rsid w:val="00767B44"/>
    <w:rsid w:val="00770827"/>
    <w:rsid w:val="00771E33"/>
    <w:rsid w:val="00772C14"/>
    <w:rsid w:val="00772FF5"/>
    <w:rsid w:val="007730BD"/>
    <w:rsid w:val="00774BDB"/>
    <w:rsid w:val="00774C13"/>
    <w:rsid w:val="00774CC1"/>
    <w:rsid w:val="00775225"/>
    <w:rsid w:val="007755F2"/>
    <w:rsid w:val="00776971"/>
    <w:rsid w:val="00776F08"/>
    <w:rsid w:val="00777E86"/>
    <w:rsid w:val="00780793"/>
    <w:rsid w:val="00781194"/>
    <w:rsid w:val="0078147A"/>
    <w:rsid w:val="0078177E"/>
    <w:rsid w:val="00781AD8"/>
    <w:rsid w:val="00782370"/>
    <w:rsid w:val="0078304C"/>
    <w:rsid w:val="00783673"/>
    <w:rsid w:val="007849E2"/>
    <w:rsid w:val="00785490"/>
    <w:rsid w:val="00787702"/>
    <w:rsid w:val="007925EA"/>
    <w:rsid w:val="0079264E"/>
    <w:rsid w:val="00792B19"/>
    <w:rsid w:val="00792C36"/>
    <w:rsid w:val="00793C85"/>
    <w:rsid w:val="00793CD8"/>
    <w:rsid w:val="007941CC"/>
    <w:rsid w:val="00794342"/>
    <w:rsid w:val="00795C92"/>
    <w:rsid w:val="00796231"/>
    <w:rsid w:val="00797469"/>
    <w:rsid w:val="00797781"/>
    <w:rsid w:val="00797A83"/>
    <w:rsid w:val="00797FE2"/>
    <w:rsid w:val="007A1344"/>
    <w:rsid w:val="007A1CB3"/>
    <w:rsid w:val="007A2750"/>
    <w:rsid w:val="007A306F"/>
    <w:rsid w:val="007A43A6"/>
    <w:rsid w:val="007A58A6"/>
    <w:rsid w:val="007A5B45"/>
    <w:rsid w:val="007B2297"/>
    <w:rsid w:val="007B29C4"/>
    <w:rsid w:val="007B2B7E"/>
    <w:rsid w:val="007B31AA"/>
    <w:rsid w:val="007B3B11"/>
    <w:rsid w:val="007B3D2D"/>
    <w:rsid w:val="007B50AE"/>
    <w:rsid w:val="007B51DF"/>
    <w:rsid w:val="007B5694"/>
    <w:rsid w:val="007B6EBE"/>
    <w:rsid w:val="007C05DD"/>
    <w:rsid w:val="007C130A"/>
    <w:rsid w:val="007C1B25"/>
    <w:rsid w:val="007C322D"/>
    <w:rsid w:val="007C3D18"/>
    <w:rsid w:val="007C52E5"/>
    <w:rsid w:val="007C60BF"/>
    <w:rsid w:val="007C6A07"/>
    <w:rsid w:val="007C75A1"/>
    <w:rsid w:val="007C77A5"/>
    <w:rsid w:val="007D04E5"/>
    <w:rsid w:val="007D20BB"/>
    <w:rsid w:val="007D294E"/>
    <w:rsid w:val="007D3401"/>
    <w:rsid w:val="007D3D6A"/>
    <w:rsid w:val="007D5901"/>
    <w:rsid w:val="007D62C6"/>
    <w:rsid w:val="007D7526"/>
    <w:rsid w:val="007D7B06"/>
    <w:rsid w:val="007D7B3C"/>
    <w:rsid w:val="007E02FE"/>
    <w:rsid w:val="007E0CB4"/>
    <w:rsid w:val="007E1A4B"/>
    <w:rsid w:val="007E2185"/>
    <w:rsid w:val="007E228A"/>
    <w:rsid w:val="007E23C2"/>
    <w:rsid w:val="007E279B"/>
    <w:rsid w:val="007E4610"/>
    <w:rsid w:val="007E4715"/>
    <w:rsid w:val="007E505B"/>
    <w:rsid w:val="007E61F2"/>
    <w:rsid w:val="007E7091"/>
    <w:rsid w:val="007E734B"/>
    <w:rsid w:val="007E76E0"/>
    <w:rsid w:val="007E79A9"/>
    <w:rsid w:val="007F03EC"/>
    <w:rsid w:val="007F0956"/>
    <w:rsid w:val="007F1BDA"/>
    <w:rsid w:val="007F1DE3"/>
    <w:rsid w:val="007F24B9"/>
    <w:rsid w:val="007F5FEA"/>
    <w:rsid w:val="007F69E5"/>
    <w:rsid w:val="007F7665"/>
    <w:rsid w:val="00800597"/>
    <w:rsid w:val="00800DAA"/>
    <w:rsid w:val="008016BA"/>
    <w:rsid w:val="0080327F"/>
    <w:rsid w:val="00803FAE"/>
    <w:rsid w:val="00805660"/>
    <w:rsid w:val="00805908"/>
    <w:rsid w:val="0080605F"/>
    <w:rsid w:val="008063EE"/>
    <w:rsid w:val="00806ED4"/>
    <w:rsid w:val="008070EC"/>
    <w:rsid w:val="00807786"/>
    <w:rsid w:val="00811FCB"/>
    <w:rsid w:val="00812B45"/>
    <w:rsid w:val="00812C40"/>
    <w:rsid w:val="00812F4E"/>
    <w:rsid w:val="00813E8E"/>
    <w:rsid w:val="008150F8"/>
    <w:rsid w:val="008158D6"/>
    <w:rsid w:val="00816E3C"/>
    <w:rsid w:val="00817196"/>
    <w:rsid w:val="008175DA"/>
    <w:rsid w:val="00817CD1"/>
    <w:rsid w:val="0082025D"/>
    <w:rsid w:val="008208AD"/>
    <w:rsid w:val="00821E22"/>
    <w:rsid w:val="00822EAE"/>
    <w:rsid w:val="008235DB"/>
    <w:rsid w:val="00823BDA"/>
    <w:rsid w:val="00824AB4"/>
    <w:rsid w:val="0082544B"/>
    <w:rsid w:val="00825C42"/>
    <w:rsid w:val="00825D25"/>
    <w:rsid w:val="0082791D"/>
    <w:rsid w:val="00827D6F"/>
    <w:rsid w:val="0083115E"/>
    <w:rsid w:val="00831FEB"/>
    <w:rsid w:val="008324D9"/>
    <w:rsid w:val="00835192"/>
    <w:rsid w:val="008376AC"/>
    <w:rsid w:val="0083784C"/>
    <w:rsid w:val="00840280"/>
    <w:rsid w:val="00841B8A"/>
    <w:rsid w:val="00841BCA"/>
    <w:rsid w:val="00843567"/>
    <w:rsid w:val="00843B86"/>
    <w:rsid w:val="008444E8"/>
    <w:rsid w:val="00844E80"/>
    <w:rsid w:val="00846FE7"/>
    <w:rsid w:val="00850CEC"/>
    <w:rsid w:val="00850D19"/>
    <w:rsid w:val="00851EAD"/>
    <w:rsid w:val="00852672"/>
    <w:rsid w:val="00853FA4"/>
    <w:rsid w:val="00854353"/>
    <w:rsid w:val="00856338"/>
    <w:rsid w:val="008563CF"/>
    <w:rsid w:val="00856911"/>
    <w:rsid w:val="008577ED"/>
    <w:rsid w:val="00857B99"/>
    <w:rsid w:val="00860A8F"/>
    <w:rsid w:val="00861A39"/>
    <w:rsid w:val="00861B07"/>
    <w:rsid w:val="00862A6E"/>
    <w:rsid w:val="00862AE1"/>
    <w:rsid w:val="00862DC0"/>
    <w:rsid w:val="00863D63"/>
    <w:rsid w:val="00865136"/>
    <w:rsid w:val="00865F2F"/>
    <w:rsid w:val="00867135"/>
    <w:rsid w:val="008677FD"/>
    <w:rsid w:val="008706D4"/>
    <w:rsid w:val="00870F8A"/>
    <w:rsid w:val="008719A4"/>
    <w:rsid w:val="00871D23"/>
    <w:rsid w:val="00874312"/>
    <w:rsid w:val="0087437C"/>
    <w:rsid w:val="00875CD7"/>
    <w:rsid w:val="00875F23"/>
    <w:rsid w:val="00876B4D"/>
    <w:rsid w:val="00877F18"/>
    <w:rsid w:val="008824BD"/>
    <w:rsid w:val="00883416"/>
    <w:rsid w:val="0088367F"/>
    <w:rsid w:val="00883F08"/>
    <w:rsid w:val="00883F10"/>
    <w:rsid w:val="00883F50"/>
    <w:rsid w:val="00884E42"/>
    <w:rsid w:val="008877EA"/>
    <w:rsid w:val="00890412"/>
    <w:rsid w:val="008928E5"/>
    <w:rsid w:val="00892AE6"/>
    <w:rsid w:val="008930BC"/>
    <w:rsid w:val="00894A56"/>
    <w:rsid w:val="00894A88"/>
    <w:rsid w:val="00895386"/>
    <w:rsid w:val="00896CCE"/>
    <w:rsid w:val="008A1126"/>
    <w:rsid w:val="008A17FD"/>
    <w:rsid w:val="008A21FF"/>
    <w:rsid w:val="008A2694"/>
    <w:rsid w:val="008A2CE2"/>
    <w:rsid w:val="008A30AC"/>
    <w:rsid w:val="008A35BF"/>
    <w:rsid w:val="008A447A"/>
    <w:rsid w:val="008A44B8"/>
    <w:rsid w:val="008A4898"/>
    <w:rsid w:val="008A51A8"/>
    <w:rsid w:val="008A54C7"/>
    <w:rsid w:val="008A5D8F"/>
    <w:rsid w:val="008A7229"/>
    <w:rsid w:val="008A77D8"/>
    <w:rsid w:val="008B0445"/>
    <w:rsid w:val="008B0483"/>
    <w:rsid w:val="008B120C"/>
    <w:rsid w:val="008B2C03"/>
    <w:rsid w:val="008B3429"/>
    <w:rsid w:val="008B5172"/>
    <w:rsid w:val="008B51A0"/>
    <w:rsid w:val="008B55D9"/>
    <w:rsid w:val="008B592A"/>
    <w:rsid w:val="008B5DC9"/>
    <w:rsid w:val="008B67C6"/>
    <w:rsid w:val="008B6901"/>
    <w:rsid w:val="008B7B5C"/>
    <w:rsid w:val="008C0C99"/>
    <w:rsid w:val="008C0D78"/>
    <w:rsid w:val="008C1D3E"/>
    <w:rsid w:val="008C2017"/>
    <w:rsid w:val="008C23BE"/>
    <w:rsid w:val="008C2E5D"/>
    <w:rsid w:val="008C39E9"/>
    <w:rsid w:val="008C4958"/>
    <w:rsid w:val="008C4BAA"/>
    <w:rsid w:val="008C6404"/>
    <w:rsid w:val="008C6AE8"/>
    <w:rsid w:val="008C7573"/>
    <w:rsid w:val="008C7F3A"/>
    <w:rsid w:val="008D114B"/>
    <w:rsid w:val="008D1A89"/>
    <w:rsid w:val="008D23DA"/>
    <w:rsid w:val="008D24EC"/>
    <w:rsid w:val="008D34F1"/>
    <w:rsid w:val="008D3831"/>
    <w:rsid w:val="008D39D8"/>
    <w:rsid w:val="008D6D1A"/>
    <w:rsid w:val="008D6DB0"/>
    <w:rsid w:val="008D722A"/>
    <w:rsid w:val="008E065E"/>
    <w:rsid w:val="008E0927"/>
    <w:rsid w:val="008E1909"/>
    <w:rsid w:val="008E2086"/>
    <w:rsid w:val="008E32A5"/>
    <w:rsid w:val="008E34DE"/>
    <w:rsid w:val="008E3AFD"/>
    <w:rsid w:val="008E541E"/>
    <w:rsid w:val="008F11E7"/>
    <w:rsid w:val="008F1EAB"/>
    <w:rsid w:val="008F2390"/>
    <w:rsid w:val="008F2CE4"/>
    <w:rsid w:val="008F2DA7"/>
    <w:rsid w:val="008F33DC"/>
    <w:rsid w:val="008F4656"/>
    <w:rsid w:val="008F477F"/>
    <w:rsid w:val="008F4E89"/>
    <w:rsid w:val="00901291"/>
    <w:rsid w:val="00902350"/>
    <w:rsid w:val="0090336B"/>
    <w:rsid w:val="00903597"/>
    <w:rsid w:val="00903BBD"/>
    <w:rsid w:val="00903D16"/>
    <w:rsid w:val="009040B6"/>
    <w:rsid w:val="009047F5"/>
    <w:rsid w:val="009053AA"/>
    <w:rsid w:val="00906939"/>
    <w:rsid w:val="00907F0D"/>
    <w:rsid w:val="0091039E"/>
    <w:rsid w:val="009103D7"/>
    <w:rsid w:val="00910B7D"/>
    <w:rsid w:val="00911028"/>
    <w:rsid w:val="009112B6"/>
    <w:rsid w:val="00911DFB"/>
    <w:rsid w:val="00912D1F"/>
    <w:rsid w:val="0091303A"/>
    <w:rsid w:val="00913703"/>
    <w:rsid w:val="009139D9"/>
    <w:rsid w:val="00913F45"/>
    <w:rsid w:val="00914AD8"/>
    <w:rsid w:val="00916079"/>
    <w:rsid w:val="0091641B"/>
    <w:rsid w:val="00916764"/>
    <w:rsid w:val="00916CAE"/>
    <w:rsid w:val="009171B8"/>
    <w:rsid w:val="00917278"/>
    <w:rsid w:val="00917CE9"/>
    <w:rsid w:val="00917EF6"/>
    <w:rsid w:val="009200B4"/>
    <w:rsid w:val="009201F4"/>
    <w:rsid w:val="00920973"/>
    <w:rsid w:val="009209FA"/>
    <w:rsid w:val="00920BF2"/>
    <w:rsid w:val="00920ECF"/>
    <w:rsid w:val="00921E1D"/>
    <w:rsid w:val="00922010"/>
    <w:rsid w:val="0092293E"/>
    <w:rsid w:val="00924DA6"/>
    <w:rsid w:val="00925455"/>
    <w:rsid w:val="0092612B"/>
    <w:rsid w:val="0092671E"/>
    <w:rsid w:val="009267E6"/>
    <w:rsid w:val="009270B8"/>
    <w:rsid w:val="0092798B"/>
    <w:rsid w:val="00931BD9"/>
    <w:rsid w:val="00931DEA"/>
    <w:rsid w:val="00931ED0"/>
    <w:rsid w:val="009338EC"/>
    <w:rsid w:val="00935C46"/>
    <w:rsid w:val="0093645D"/>
    <w:rsid w:val="009368F3"/>
    <w:rsid w:val="00940E69"/>
    <w:rsid w:val="00941636"/>
    <w:rsid w:val="00941E3C"/>
    <w:rsid w:val="00942A88"/>
    <w:rsid w:val="00943742"/>
    <w:rsid w:val="00944220"/>
    <w:rsid w:val="00945190"/>
    <w:rsid w:val="009455A7"/>
    <w:rsid w:val="00945C05"/>
    <w:rsid w:val="009460C9"/>
    <w:rsid w:val="0094646C"/>
    <w:rsid w:val="00946945"/>
    <w:rsid w:val="00947713"/>
    <w:rsid w:val="00947BC4"/>
    <w:rsid w:val="00950DE7"/>
    <w:rsid w:val="00953920"/>
    <w:rsid w:val="00953D47"/>
    <w:rsid w:val="00954944"/>
    <w:rsid w:val="00955239"/>
    <w:rsid w:val="00955405"/>
    <w:rsid w:val="00956425"/>
    <w:rsid w:val="0095681E"/>
    <w:rsid w:val="009572D4"/>
    <w:rsid w:val="00957B03"/>
    <w:rsid w:val="00957E33"/>
    <w:rsid w:val="0096147B"/>
    <w:rsid w:val="00961921"/>
    <w:rsid w:val="00962B11"/>
    <w:rsid w:val="00963D44"/>
    <w:rsid w:val="00963D83"/>
    <w:rsid w:val="0096430A"/>
    <w:rsid w:val="0096554B"/>
    <w:rsid w:val="0096584A"/>
    <w:rsid w:val="00965DD6"/>
    <w:rsid w:val="00967269"/>
    <w:rsid w:val="009678B1"/>
    <w:rsid w:val="0096797F"/>
    <w:rsid w:val="00971F08"/>
    <w:rsid w:val="009721E5"/>
    <w:rsid w:val="00972623"/>
    <w:rsid w:val="00973E11"/>
    <w:rsid w:val="0097603D"/>
    <w:rsid w:val="009762BF"/>
    <w:rsid w:val="00976598"/>
    <w:rsid w:val="00976949"/>
    <w:rsid w:val="00976BEB"/>
    <w:rsid w:val="00976F3D"/>
    <w:rsid w:val="00977228"/>
    <w:rsid w:val="00977748"/>
    <w:rsid w:val="00980477"/>
    <w:rsid w:val="00980536"/>
    <w:rsid w:val="00982039"/>
    <w:rsid w:val="00985253"/>
    <w:rsid w:val="009853B3"/>
    <w:rsid w:val="00986CCC"/>
    <w:rsid w:val="0098710B"/>
    <w:rsid w:val="00987417"/>
    <w:rsid w:val="00987EC9"/>
    <w:rsid w:val="00990630"/>
    <w:rsid w:val="00990855"/>
    <w:rsid w:val="00991761"/>
    <w:rsid w:val="00991A0E"/>
    <w:rsid w:val="00991A6E"/>
    <w:rsid w:val="00994D68"/>
    <w:rsid w:val="00994DCA"/>
    <w:rsid w:val="009960EC"/>
    <w:rsid w:val="00996958"/>
    <w:rsid w:val="00996A9E"/>
    <w:rsid w:val="009970DD"/>
    <w:rsid w:val="00997571"/>
    <w:rsid w:val="009A0AA1"/>
    <w:rsid w:val="009A0FB7"/>
    <w:rsid w:val="009A0FBA"/>
    <w:rsid w:val="009A1601"/>
    <w:rsid w:val="009A345C"/>
    <w:rsid w:val="009A367D"/>
    <w:rsid w:val="009A37B8"/>
    <w:rsid w:val="009A462D"/>
    <w:rsid w:val="009A515A"/>
    <w:rsid w:val="009A5CBA"/>
    <w:rsid w:val="009A6639"/>
    <w:rsid w:val="009A676C"/>
    <w:rsid w:val="009A6CE3"/>
    <w:rsid w:val="009B0AAC"/>
    <w:rsid w:val="009B1F30"/>
    <w:rsid w:val="009B3AC2"/>
    <w:rsid w:val="009B49AB"/>
    <w:rsid w:val="009B4DF4"/>
    <w:rsid w:val="009B564E"/>
    <w:rsid w:val="009B5C59"/>
    <w:rsid w:val="009B6254"/>
    <w:rsid w:val="009B71EF"/>
    <w:rsid w:val="009B7A68"/>
    <w:rsid w:val="009B7E87"/>
    <w:rsid w:val="009C200D"/>
    <w:rsid w:val="009C403E"/>
    <w:rsid w:val="009C6A48"/>
    <w:rsid w:val="009D0AB5"/>
    <w:rsid w:val="009D2F9C"/>
    <w:rsid w:val="009D33EE"/>
    <w:rsid w:val="009D403A"/>
    <w:rsid w:val="009D47A3"/>
    <w:rsid w:val="009D4FF0"/>
    <w:rsid w:val="009D6E69"/>
    <w:rsid w:val="009D703C"/>
    <w:rsid w:val="009D7048"/>
    <w:rsid w:val="009D718F"/>
    <w:rsid w:val="009E068F"/>
    <w:rsid w:val="009E14E0"/>
    <w:rsid w:val="009E35DB"/>
    <w:rsid w:val="009E4449"/>
    <w:rsid w:val="009E47A3"/>
    <w:rsid w:val="009E6656"/>
    <w:rsid w:val="009E6CE8"/>
    <w:rsid w:val="009F0533"/>
    <w:rsid w:val="009F07F1"/>
    <w:rsid w:val="009F08F3"/>
    <w:rsid w:val="009F344F"/>
    <w:rsid w:val="009F4546"/>
    <w:rsid w:val="009F59BA"/>
    <w:rsid w:val="009F6212"/>
    <w:rsid w:val="009F6355"/>
    <w:rsid w:val="009F7977"/>
    <w:rsid w:val="00A003CE"/>
    <w:rsid w:val="00A01493"/>
    <w:rsid w:val="00A020DD"/>
    <w:rsid w:val="00A0306F"/>
    <w:rsid w:val="00A04059"/>
    <w:rsid w:val="00A048A8"/>
    <w:rsid w:val="00A04F49"/>
    <w:rsid w:val="00A054E2"/>
    <w:rsid w:val="00A056FB"/>
    <w:rsid w:val="00A129DC"/>
    <w:rsid w:val="00A13152"/>
    <w:rsid w:val="00A13E54"/>
    <w:rsid w:val="00A17F63"/>
    <w:rsid w:val="00A2193B"/>
    <w:rsid w:val="00A2220C"/>
    <w:rsid w:val="00A23335"/>
    <w:rsid w:val="00A2351A"/>
    <w:rsid w:val="00A25029"/>
    <w:rsid w:val="00A25BF3"/>
    <w:rsid w:val="00A264A9"/>
    <w:rsid w:val="00A264AF"/>
    <w:rsid w:val="00A26B1C"/>
    <w:rsid w:val="00A27785"/>
    <w:rsid w:val="00A30187"/>
    <w:rsid w:val="00A30969"/>
    <w:rsid w:val="00A30DE8"/>
    <w:rsid w:val="00A31E60"/>
    <w:rsid w:val="00A3249F"/>
    <w:rsid w:val="00A32F03"/>
    <w:rsid w:val="00A33BB2"/>
    <w:rsid w:val="00A3448A"/>
    <w:rsid w:val="00A34C40"/>
    <w:rsid w:val="00A34E58"/>
    <w:rsid w:val="00A36297"/>
    <w:rsid w:val="00A4168A"/>
    <w:rsid w:val="00A41E2B"/>
    <w:rsid w:val="00A4513F"/>
    <w:rsid w:val="00A45723"/>
    <w:rsid w:val="00A45B74"/>
    <w:rsid w:val="00A47C98"/>
    <w:rsid w:val="00A50E31"/>
    <w:rsid w:val="00A517DC"/>
    <w:rsid w:val="00A52115"/>
    <w:rsid w:val="00A52870"/>
    <w:rsid w:val="00A52E1D"/>
    <w:rsid w:val="00A53C46"/>
    <w:rsid w:val="00A56009"/>
    <w:rsid w:val="00A61499"/>
    <w:rsid w:val="00A6262A"/>
    <w:rsid w:val="00A62A77"/>
    <w:rsid w:val="00A63483"/>
    <w:rsid w:val="00A657D7"/>
    <w:rsid w:val="00A660AC"/>
    <w:rsid w:val="00A66684"/>
    <w:rsid w:val="00A66BEE"/>
    <w:rsid w:val="00A67E6C"/>
    <w:rsid w:val="00A71B1E"/>
    <w:rsid w:val="00A71B99"/>
    <w:rsid w:val="00A7343A"/>
    <w:rsid w:val="00A739D0"/>
    <w:rsid w:val="00A7604B"/>
    <w:rsid w:val="00A761D4"/>
    <w:rsid w:val="00A7666B"/>
    <w:rsid w:val="00A7754A"/>
    <w:rsid w:val="00A77C56"/>
    <w:rsid w:val="00A77EC4"/>
    <w:rsid w:val="00A80E92"/>
    <w:rsid w:val="00A80FC8"/>
    <w:rsid w:val="00A831AE"/>
    <w:rsid w:val="00A8466E"/>
    <w:rsid w:val="00A852DA"/>
    <w:rsid w:val="00A85CCF"/>
    <w:rsid w:val="00A90831"/>
    <w:rsid w:val="00A92879"/>
    <w:rsid w:val="00A93664"/>
    <w:rsid w:val="00A9399F"/>
    <w:rsid w:val="00A9442A"/>
    <w:rsid w:val="00A95370"/>
    <w:rsid w:val="00A96B60"/>
    <w:rsid w:val="00A970C7"/>
    <w:rsid w:val="00AA016F"/>
    <w:rsid w:val="00AA1A9F"/>
    <w:rsid w:val="00AA1ED6"/>
    <w:rsid w:val="00AA2AAB"/>
    <w:rsid w:val="00AA39DD"/>
    <w:rsid w:val="00AA3F9B"/>
    <w:rsid w:val="00AA51D6"/>
    <w:rsid w:val="00AA5261"/>
    <w:rsid w:val="00AA77EA"/>
    <w:rsid w:val="00AB0BC8"/>
    <w:rsid w:val="00AB11CA"/>
    <w:rsid w:val="00AB14D9"/>
    <w:rsid w:val="00AB186D"/>
    <w:rsid w:val="00AB2C54"/>
    <w:rsid w:val="00AB30AF"/>
    <w:rsid w:val="00AB30EE"/>
    <w:rsid w:val="00AB3162"/>
    <w:rsid w:val="00AB364A"/>
    <w:rsid w:val="00AB4AB8"/>
    <w:rsid w:val="00AB4D88"/>
    <w:rsid w:val="00AB555B"/>
    <w:rsid w:val="00AB59C9"/>
    <w:rsid w:val="00AB655E"/>
    <w:rsid w:val="00AB6F02"/>
    <w:rsid w:val="00AC007F"/>
    <w:rsid w:val="00AC2B0B"/>
    <w:rsid w:val="00AC2ECD"/>
    <w:rsid w:val="00AC3119"/>
    <w:rsid w:val="00AC33D4"/>
    <w:rsid w:val="00AC362C"/>
    <w:rsid w:val="00AC4862"/>
    <w:rsid w:val="00AC49FB"/>
    <w:rsid w:val="00AC525C"/>
    <w:rsid w:val="00AC5A10"/>
    <w:rsid w:val="00AC65D2"/>
    <w:rsid w:val="00AC708A"/>
    <w:rsid w:val="00AC764A"/>
    <w:rsid w:val="00AD01FF"/>
    <w:rsid w:val="00AD06EB"/>
    <w:rsid w:val="00AD0AA3"/>
    <w:rsid w:val="00AD0E62"/>
    <w:rsid w:val="00AD29D5"/>
    <w:rsid w:val="00AD3F94"/>
    <w:rsid w:val="00AD4828"/>
    <w:rsid w:val="00AD4A5A"/>
    <w:rsid w:val="00AD5C3C"/>
    <w:rsid w:val="00AE0709"/>
    <w:rsid w:val="00AE1235"/>
    <w:rsid w:val="00AE15C5"/>
    <w:rsid w:val="00AE27AC"/>
    <w:rsid w:val="00AE2DFF"/>
    <w:rsid w:val="00AE40E0"/>
    <w:rsid w:val="00AE43AB"/>
    <w:rsid w:val="00AE4C4C"/>
    <w:rsid w:val="00AE4DBA"/>
    <w:rsid w:val="00AE4F07"/>
    <w:rsid w:val="00AE4F6E"/>
    <w:rsid w:val="00AE5483"/>
    <w:rsid w:val="00AE6ABC"/>
    <w:rsid w:val="00AE7686"/>
    <w:rsid w:val="00AF0CCF"/>
    <w:rsid w:val="00AF14E1"/>
    <w:rsid w:val="00AF1C5D"/>
    <w:rsid w:val="00AF24DD"/>
    <w:rsid w:val="00AF42D7"/>
    <w:rsid w:val="00AF457B"/>
    <w:rsid w:val="00AF5492"/>
    <w:rsid w:val="00AF6143"/>
    <w:rsid w:val="00AF72F9"/>
    <w:rsid w:val="00B006FE"/>
    <w:rsid w:val="00B007CB"/>
    <w:rsid w:val="00B01217"/>
    <w:rsid w:val="00B02AA9"/>
    <w:rsid w:val="00B02FA3"/>
    <w:rsid w:val="00B0495D"/>
    <w:rsid w:val="00B05061"/>
    <w:rsid w:val="00B05084"/>
    <w:rsid w:val="00B058AC"/>
    <w:rsid w:val="00B0605D"/>
    <w:rsid w:val="00B06D65"/>
    <w:rsid w:val="00B07195"/>
    <w:rsid w:val="00B10112"/>
    <w:rsid w:val="00B10603"/>
    <w:rsid w:val="00B11AD5"/>
    <w:rsid w:val="00B11D7F"/>
    <w:rsid w:val="00B13215"/>
    <w:rsid w:val="00B1398E"/>
    <w:rsid w:val="00B13DA3"/>
    <w:rsid w:val="00B1442A"/>
    <w:rsid w:val="00B149EF"/>
    <w:rsid w:val="00B157F9"/>
    <w:rsid w:val="00B15F51"/>
    <w:rsid w:val="00B167F1"/>
    <w:rsid w:val="00B17170"/>
    <w:rsid w:val="00B17CA5"/>
    <w:rsid w:val="00B20256"/>
    <w:rsid w:val="00B20677"/>
    <w:rsid w:val="00B20B0D"/>
    <w:rsid w:val="00B20D09"/>
    <w:rsid w:val="00B22697"/>
    <w:rsid w:val="00B22DDA"/>
    <w:rsid w:val="00B238A0"/>
    <w:rsid w:val="00B23B5A"/>
    <w:rsid w:val="00B247BB"/>
    <w:rsid w:val="00B24F96"/>
    <w:rsid w:val="00B261BD"/>
    <w:rsid w:val="00B26408"/>
    <w:rsid w:val="00B2763F"/>
    <w:rsid w:val="00B27AAC"/>
    <w:rsid w:val="00B3091E"/>
    <w:rsid w:val="00B30929"/>
    <w:rsid w:val="00B3177D"/>
    <w:rsid w:val="00B32147"/>
    <w:rsid w:val="00B3251B"/>
    <w:rsid w:val="00B32EA8"/>
    <w:rsid w:val="00B32F44"/>
    <w:rsid w:val="00B33564"/>
    <w:rsid w:val="00B34199"/>
    <w:rsid w:val="00B36EF9"/>
    <w:rsid w:val="00B372AA"/>
    <w:rsid w:val="00B40262"/>
    <w:rsid w:val="00B40445"/>
    <w:rsid w:val="00B41888"/>
    <w:rsid w:val="00B41DBD"/>
    <w:rsid w:val="00B43287"/>
    <w:rsid w:val="00B435A8"/>
    <w:rsid w:val="00B439A0"/>
    <w:rsid w:val="00B43B8C"/>
    <w:rsid w:val="00B45632"/>
    <w:rsid w:val="00B45A52"/>
    <w:rsid w:val="00B46175"/>
    <w:rsid w:val="00B47B6F"/>
    <w:rsid w:val="00B50626"/>
    <w:rsid w:val="00B50AE1"/>
    <w:rsid w:val="00B50D99"/>
    <w:rsid w:val="00B50F03"/>
    <w:rsid w:val="00B5172F"/>
    <w:rsid w:val="00B529D0"/>
    <w:rsid w:val="00B53A31"/>
    <w:rsid w:val="00B569D6"/>
    <w:rsid w:val="00B57FA6"/>
    <w:rsid w:val="00B57FFC"/>
    <w:rsid w:val="00B62510"/>
    <w:rsid w:val="00B62AAA"/>
    <w:rsid w:val="00B6314E"/>
    <w:rsid w:val="00B63B82"/>
    <w:rsid w:val="00B646C1"/>
    <w:rsid w:val="00B6507B"/>
    <w:rsid w:val="00B65635"/>
    <w:rsid w:val="00B662FA"/>
    <w:rsid w:val="00B664C7"/>
    <w:rsid w:val="00B675CA"/>
    <w:rsid w:val="00B6765C"/>
    <w:rsid w:val="00B71B19"/>
    <w:rsid w:val="00B739F6"/>
    <w:rsid w:val="00B75BF8"/>
    <w:rsid w:val="00B762D6"/>
    <w:rsid w:val="00B76677"/>
    <w:rsid w:val="00B81A6C"/>
    <w:rsid w:val="00B825B0"/>
    <w:rsid w:val="00B846C1"/>
    <w:rsid w:val="00B85B47"/>
    <w:rsid w:val="00B85DE5"/>
    <w:rsid w:val="00B85FF3"/>
    <w:rsid w:val="00B868CA"/>
    <w:rsid w:val="00B87E0F"/>
    <w:rsid w:val="00B908BB"/>
    <w:rsid w:val="00B90F73"/>
    <w:rsid w:val="00B913E0"/>
    <w:rsid w:val="00B9158E"/>
    <w:rsid w:val="00B93B59"/>
    <w:rsid w:val="00B94022"/>
    <w:rsid w:val="00B9406A"/>
    <w:rsid w:val="00B96041"/>
    <w:rsid w:val="00B963F1"/>
    <w:rsid w:val="00B96F31"/>
    <w:rsid w:val="00B96FC6"/>
    <w:rsid w:val="00BA07DB"/>
    <w:rsid w:val="00BA0C12"/>
    <w:rsid w:val="00BA0DF5"/>
    <w:rsid w:val="00BA1B4A"/>
    <w:rsid w:val="00BA2280"/>
    <w:rsid w:val="00BA2A08"/>
    <w:rsid w:val="00BA2B17"/>
    <w:rsid w:val="00BA2D84"/>
    <w:rsid w:val="00BA36D1"/>
    <w:rsid w:val="00BA56D2"/>
    <w:rsid w:val="00BA5D54"/>
    <w:rsid w:val="00BA6653"/>
    <w:rsid w:val="00BA76E0"/>
    <w:rsid w:val="00BB08FB"/>
    <w:rsid w:val="00BB125D"/>
    <w:rsid w:val="00BB2A25"/>
    <w:rsid w:val="00BB3B8D"/>
    <w:rsid w:val="00BB4CDD"/>
    <w:rsid w:val="00BB51E9"/>
    <w:rsid w:val="00BB543D"/>
    <w:rsid w:val="00BB56E7"/>
    <w:rsid w:val="00BB57FE"/>
    <w:rsid w:val="00BB6D48"/>
    <w:rsid w:val="00BB716C"/>
    <w:rsid w:val="00BC0738"/>
    <w:rsid w:val="00BC0FDC"/>
    <w:rsid w:val="00BC13DC"/>
    <w:rsid w:val="00BC3053"/>
    <w:rsid w:val="00BC4D2E"/>
    <w:rsid w:val="00BC5D1A"/>
    <w:rsid w:val="00BC6599"/>
    <w:rsid w:val="00BD0752"/>
    <w:rsid w:val="00BD48AC"/>
    <w:rsid w:val="00BD5401"/>
    <w:rsid w:val="00BD5F1A"/>
    <w:rsid w:val="00BD7FF3"/>
    <w:rsid w:val="00BE1234"/>
    <w:rsid w:val="00BE12E5"/>
    <w:rsid w:val="00BE1326"/>
    <w:rsid w:val="00BE2705"/>
    <w:rsid w:val="00BE2FA6"/>
    <w:rsid w:val="00BE333F"/>
    <w:rsid w:val="00BE38A4"/>
    <w:rsid w:val="00BE3E94"/>
    <w:rsid w:val="00BE4C65"/>
    <w:rsid w:val="00BE4CA9"/>
    <w:rsid w:val="00BE5866"/>
    <w:rsid w:val="00BE7406"/>
    <w:rsid w:val="00BE7603"/>
    <w:rsid w:val="00BF02F4"/>
    <w:rsid w:val="00BF0458"/>
    <w:rsid w:val="00BF1737"/>
    <w:rsid w:val="00BF18B9"/>
    <w:rsid w:val="00BF1FCD"/>
    <w:rsid w:val="00BF2453"/>
    <w:rsid w:val="00BF2D7E"/>
    <w:rsid w:val="00BF3279"/>
    <w:rsid w:val="00BF35C3"/>
    <w:rsid w:val="00BF4B6F"/>
    <w:rsid w:val="00BF74C7"/>
    <w:rsid w:val="00C009A6"/>
    <w:rsid w:val="00C015F1"/>
    <w:rsid w:val="00C01F33"/>
    <w:rsid w:val="00C0296F"/>
    <w:rsid w:val="00C02CC6"/>
    <w:rsid w:val="00C037DA"/>
    <w:rsid w:val="00C03D15"/>
    <w:rsid w:val="00C040F7"/>
    <w:rsid w:val="00C041B0"/>
    <w:rsid w:val="00C044AB"/>
    <w:rsid w:val="00C0476C"/>
    <w:rsid w:val="00C04FC3"/>
    <w:rsid w:val="00C05706"/>
    <w:rsid w:val="00C07377"/>
    <w:rsid w:val="00C07D2F"/>
    <w:rsid w:val="00C10478"/>
    <w:rsid w:val="00C12107"/>
    <w:rsid w:val="00C121CC"/>
    <w:rsid w:val="00C12A2D"/>
    <w:rsid w:val="00C13D53"/>
    <w:rsid w:val="00C14BE5"/>
    <w:rsid w:val="00C14D4B"/>
    <w:rsid w:val="00C154BB"/>
    <w:rsid w:val="00C1623A"/>
    <w:rsid w:val="00C170BB"/>
    <w:rsid w:val="00C17AEC"/>
    <w:rsid w:val="00C17B0C"/>
    <w:rsid w:val="00C21008"/>
    <w:rsid w:val="00C21EBC"/>
    <w:rsid w:val="00C22B30"/>
    <w:rsid w:val="00C279B5"/>
    <w:rsid w:val="00C27C45"/>
    <w:rsid w:val="00C3059C"/>
    <w:rsid w:val="00C32D30"/>
    <w:rsid w:val="00C3329E"/>
    <w:rsid w:val="00C3719D"/>
    <w:rsid w:val="00C41110"/>
    <w:rsid w:val="00C41795"/>
    <w:rsid w:val="00C423C4"/>
    <w:rsid w:val="00C42412"/>
    <w:rsid w:val="00C42E3A"/>
    <w:rsid w:val="00C43328"/>
    <w:rsid w:val="00C446BF"/>
    <w:rsid w:val="00C45606"/>
    <w:rsid w:val="00C4586E"/>
    <w:rsid w:val="00C45E7E"/>
    <w:rsid w:val="00C5026E"/>
    <w:rsid w:val="00C51DE3"/>
    <w:rsid w:val="00C52DBA"/>
    <w:rsid w:val="00C531E3"/>
    <w:rsid w:val="00C534A2"/>
    <w:rsid w:val="00C53B0A"/>
    <w:rsid w:val="00C541D8"/>
    <w:rsid w:val="00C548DD"/>
    <w:rsid w:val="00C54995"/>
    <w:rsid w:val="00C54D41"/>
    <w:rsid w:val="00C550EC"/>
    <w:rsid w:val="00C555C9"/>
    <w:rsid w:val="00C55781"/>
    <w:rsid w:val="00C558F1"/>
    <w:rsid w:val="00C5636F"/>
    <w:rsid w:val="00C56A49"/>
    <w:rsid w:val="00C56C8F"/>
    <w:rsid w:val="00C56D4A"/>
    <w:rsid w:val="00C60783"/>
    <w:rsid w:val="00C62597"/>
    <w:rsid w:val="00C642F8"/>
    <w:rsid w:val="00C64630"/>
    <w:rsid w:val="00C64672"/>
    <w:rsid w:val="00C647A0"/>
    <w:rsid w:val="00C64D07"/>
    <w:rsid w:val="00C6711D"/>
    <w:rsid w:val="00C70697"/>
    <w:rsid w:val="00C72A82"/>
    <w:rsid w:val="00C72EF4"/>
    <w:rsid w:val="00C73921"/>
    <w:rsid w:val="00C744B5"/>
    <w:rsid w:val="00C745C3"/>
    <w:rsid w:val="00C748BC"/>
    <w:rsid w:val="00C75D2F"/>
    <w:rsid w:val="00C767BE"/>
    <w:rsid w:val="00C76963"/>
    <w:rsid w:val="00C76E3C"/>
    <w:rsid w:val="00C81181"/>
    <w:rsid w:val="00C81345"/>
    <w:rsid w:val="00C81568"/>
    <w:rsid w:val="00C8226F"/>
    <w:rsid w:val="00C83029"/>
    <w:rsid w:val="00C839F4"/>
    <w:rsid w:val="00C84AFF"/>
    <w:rsid w:val="00C87AD6"/>
    <w:rsid w:val="00C9027A"/>
    <w:rsid w:val="00C9068E"/>
    <w:rsid w:val="00C91DF0"/>
    <w:rsid w:val="00C93A46"/>
    <w:rsid w:val="00C93C4B"/>
    <w:rsid w:val="00C944AB"/>
    <w:rsid w:val="00C949D1"/>
    <w:rsid w:val="00C95B40"/>
    <w:rsid w:val="00C9637B"/>
    <w:rsid w:val="00C9775C"/>
    <w:rsid w:val="00CA163D"/>
    <w:rsid w:val="00CA1ED8"/>
    <w:rsid w:val="00CA28EC"/>
    <w:rsid w:val="00CA3076"/>
    <w:rsid w:val="00CA3424"/>
    <w:rsid w:val="00CA35E7"/>
    <w:rsid w:val="00CA3609"/>
    <w:rsid w:val="00CA3F52"/>
    <w:rsid w:val="00CA4DB5"/>
    <w:rsid w:val="00CA54B6"/>
    <w:rsid w:val="00CA5696"/>
    <w:rsid w:val="00CA6B1B"/>
    <w:rsid w:val="00CA763A"/>
    <w:rsid w:val="00CB1F63"/>
    <w:rsid w:val="00CB1F91"/>
    <w:rsid w:val="00CB2C1B"/>
    <w:rsid w:val="00CB329F"/>
    <w:rsid w:val="00CB3A33"/>
    <w:rsid w:val="00CB4810"/>
    <w:rsid w:val="00CB4ED1"/>
    <w:rsid w:val="00CB4EE4"/>
    <w:rsid w:val="00CB504B"/>
    <w:rsid w:val="00CB6065"/>
    <w:rsid w:val="00CB6FC3"/>
    <w:rsid w:val="00CB7170"/>
    <w:rsid w:val="00CB7EAE"/>
    <w:rsid w:val="00CC040E"/>
    <w:rsid w:val="00CC079B"/>
    <w:rsid w:val="00CC111F"/>
    <w:rsid w:val="00CC19E3"/>
    <w:rsid w:val="00CC2011"/>
    <w:rsid w:val="00CC2E8D"/>
    <w:rsid w:val="00CC346A"/>
    <w:rsid w:val="00CC34AF"/>
    <w:rsid w:val="00CC3D0E"/>
    <w:rsid w:val="00CC3EA0"/>
    <w:rsid w:val="00CC58D5"/>
    <w:rsid w:val="00CC58DA"/>
    <w:rsid w:val="00CC61F0"/>
    <w:rsid w:val="00CC63FD"/>
    <w:rsid w:val="00CC6BCA"/>
    <w:rsid w:val="00CC6C5A"/>
    <w:rsid w:val="00CC6E2E"/>
    <w:rsid w:val="00CC6E62"/>
    <w:rsid w:val="00CC7B45"/>
    <w:rsid w:val="00CD1188"/>
    <w:rsid w:val="00CD2ED1"/>
    <w:rsid w:val="00CD337B"/>
    <w:rsid w:val="00CD39EC"/>
    <w:rsid w:val="00CD7CFE"/>
    <w:rsid w:val="00CE0424"/>
    <w:rsid w:val="00CE1DC0"/>
    <w:rsid w:val="00CE2CE5"/>
    <w:rsid w:val="00CE4E50"/>
    <w:rsid w:val="00CE5C72"/>
    <w:rsid w:val="00CE7561"/>
    <w:rsid w:val="00CF1354"/>
    <w:rsid w:val="00CF3B1F"/>
    <w:rsid w:val="00CF3BF6"/>
    <w:rsid w:val="00CF409F"/>
    <w:rsid w:val="00CF624B"/>
    <w:rsid w:val="00CF625B"/>
    <w:rsid w:val="00CF687E"/>
    <w:rsid w:val="00CF7164"/>
    <w:rsid w:val="00D00111"/>
    <w:rsid w:val="00D0090F"/>
    <w:rsid w:val="00D00D66"/>
    <w:rsid w:val="00D013B5"/>
    <w:rsid w:val="00D02328"/>
    <w:rsid w:val="00D02989"/>
    <w:rsid w:val="00D029A2"/>
    <w:rsid w:val="00D02A83"/>
    <w:rsid w:val="00D031A5"/>
    <w:rsid w:val="00D0349B"/>
    <w:rsid w:val="00D035F1"/>
    <w:rsid w:val="00D042F6"/>
    <w:rsid w:val="00D04434"/>
    <w:rsid w:val="00D04A75"/>
    <w:rsid w:val="00D10249"/>
    <w:rsid w:val="00D115C3"/>
    <w:rsid w:val="00D11897"/>
    <w:rsid w:val="00D13135"/>
    <w:rsid w:val="00D137DD"/>
    <w:rsid w:val="00D13D4B"/>
    <w:rsid w:val="00D13DCE"/>
    <w:rsid w:val="00D13E4E"/>
    <w:rsid w:val="00D16BCB"/>
    <w:rsid w:val="00D17392"/>
    <w:rsid w:val="00D17860"/>
    <w:rsid w:val="00D21058"/>
    <w:rsid w:val="00D21380"/>
    <w:rsid w:val="00D22E95"/>
    <w:rsid w:val="00D239A7"/>
    <w:rsid w:val="00D23F47"/>
    <w:rsid w:val="00D244DB"/>
    <w:rsid w:val="00D252A0"/>
    <w:rsid w:val="00D2561C"/>
    <w:rsid w:val="00D26C74"/>
    <w:rsid w:val="00D3005B"/>
    <w:rsid w:val="00D30825"/>
    <w:rsid w:val="00D31230"/>
    <w:rsid w:val="00D3128C"/>
    <w:rsid w:val="00D35FF6"/>
    <w:rsid w:val="00D36E71"/>
    <w:rsid w:val="00D37D87"/>
    <w:rsid w:val="00D37FE7"/>
    <w:rsid w:val="00D40B33"/>
    <w:rsid w:val="00D4318F"/>
    <w:rsid w:val="00D438BF"/>
    <w:rsid w:val="00D4397F"/>
    <w:rsid w:val="00D43A02"/>
    <w:rsid w:val="00D440F8"/>
    <w:rsid w:val="00D500BD"/>
    <w:rsid w:val="00D503D8"/>
    <w:rsid w:val="00D5300C"/>
    <w:rsid w:val="00D5423E"/>
    <w:rsid w:val="00D546FF"/>
    <w:rsid w:val="00D55AD5"/>
    <w:rsid w:val="00D564BC"/>
    <w:rsid w:val="00D564D3"/>
    <w:rsid w:val="00D571B2"/>
    <w:rsid w:val="00D576CA"/>
    <w:rsid w:val="00D578C7"/>
    <w:rsid w:val="00D60E13"/>
    <w:rsid w:val="00D61851"/>
    <w:rsid w:val="00D61AF5"/>
    <w:rsid w:val="00D62CD5"/>
    <w:rsid w:val="00D62DC5"/>
    <w:rsid w:val="00D6435F"/>
    <w:rsid w:val="00D647DE"/>
    <w:rsid w:val="00D652B5"/>
    <w:rsid w:val="00D66155"/>
    <w:rsid w:val="00D70207"/>
    <w:rsid w:val="00D708B0"/>
    <w:rsid w:val="00D76852"/>
    <w:rsid w:val="00D77B1D"/>
    <w:rsid w:val="00D8021F"/>
    <w:rsid w:val="00D80383"/>
    <w:rsid w:val="00D81D9D"/>
    <w:rsid w:val="00D81F40"/>
    <w:rsid w:val="00D823C6"/>
    <w:rsid w:val="00D8292B"/>
    <w:rsid w:val="00D82EC1"/>
    <w:rsid w:val="00D83070"/>
    <w:rsid w:val="00D841AE"/>
    <w:rsid w:val="00D844F2"/>
    <w:rsid w:val="00D84E8A"/>
    <w:rsid w:val="00D8628E"/>
    <w:rsid w:val="00D86319"/>
    <w:rsid w:val="00D86ABB"/>
    <w:rsid w:val="00D86CA3"/>
    <w:rsid w:val="00D871CE"/>
    <w:rsid w:val="00D8720F"/>
    <w:rsid w:val="00D90186"/>
    <w:rsid w:val="00D90D0F"/>
    <w:rsid w:val="00D916F2"/>
    <w:rsid w:val="00D9196D"/>
    <w:rsid w:val="00D92982"/>
    <w:rsid w:val="00D92B12"/>
    <w:rsid w:val="00D93C10"/>
    <w:rsid w:val="00D95611"/>
    <w:rsid w:val="00D956F0"/>
    <w:rsid w:val="00D95B46"/>
    <w:rsid w:val="00D97813"/>
    <w:rsid w:val="00D97BDD"/>
    <w:rsid w:val="00DA0A31"/>
    <w:rsid w:val="00DA15B9"/>
    <w:rsid w:val="00DA305E"/>
    <w:rsid w:val="00DA3CEA"/>
    <w:rsid w:val="00DA5007"/>
    <w:rsid w:val="00DA5417"/>
    <w:rsid w:val="00DA56E8"/>
    <w:rsid w:val="00DA583A"/>
    <w:rsid w:val="00DA6C22"/>
    <w:rsid w:val="00DA6DD9"/>
    <w:rsid w:val="00DB06AF"/>
    <w:rsid w:val="00DB0A9F"/>
    <w:rsid w:val="00DB1F46"/>
    <w:rsid w:val="00DB2212"/>
    <w:rsid w:val="00DB36A8"/>
    <w:rsid w:val="00DB377D"/>
    <w:rsid w:val="00DB4700"/>
    <w:rsid w:val="00DB6530"/>
    <w:rsid w:val="00DB7A77"/>
    <w:rsid w:val="00DC206E"/>
    <w:rsid w:val="00DC2D36"/>
    <w:rsid w:val="00DC3CAF"/>
    <w:rsid w:val="00DC475D"/>
    <w:rsid w:val="00DC4D23"/>
    <w:rsid w:val="00DC52A2"/>
    <w:rsid w:val="00DC53EF"/>
    <w:rsid w:val="00DD0DE8"/>
    <w:rsid w:val="00DD22D0"/>
    <w:rsid w:val="00DD2EBD"/>
    <w:rsid w:val="00DD3315"/>
    <w:rsid w:val="00DD3B3B"/>
    <w:rsid w:val="00DD41CF"/>
    <w:rsid w:val="00DD49FB"/>
    <w:rsid w:val="00DE05B8"/>
    <w:rsid w:val="00DE06A6"/>
    <w:rsid w:val="00DE2C38"/>
    <w:rsid w:val="00DE5203"/>
    <w:rsid w:val="00DE5608"/>
    <w:rsid w:val="00DE58D0"/>
    <w:rsid w:val="00DE654F"/>
    <w:rsid w:val="00DE7F33"/>
    <w:rsid w:val="00DF0B6E"/>
    <w:rsid w:val="00DF15E0"/>
    <w:rsid w:val="00DF37A0"/>
    <w:rsid w:val="00DF3BDD"/>
    <w:rsid w:val="00DF4137"/>
    <w:rsid w:val="00DF41FE"/>
    <w:rsid w:val="00DF45B1"/>
    <w:rsid w:val="00DF53C9"/>
    <w:rsid w:val="00DF548D"/>
    <w:rsid w:val="00DF5648"/>
    <w:rsid w:val="00DF7665"/>
    <w:rsid w:val="00DF79D2"/>
    <w:rsid w:val="00E0093F"/>
    <w:rsid w:val="00E00ABF"/>
    <w:rsid w:val="00E00FB0"/>
    <w:rsid w:val="00E03C53"/>
    <w:rsid w:val="00E047D5"/>
    <w:rsid w:val="00E04F4B"/>
    <w:rsid w:val="00E06252"/>
    <w:rsid w:val="00E064A6"/>
    <w:rsid w:val="00E110E7"/>
    <w:rsid w:val="00E11B20"/>
    <w:rsid w:val="00E11DDD"/>
    <w:rsid w:val="00E11EDD"/>
    <w:rsid w:val="00E13A3C"/>
    <w:rsid w:val="00E13E56"/>
    <w:rsid w:val="00E163CF"/>
    <w:rsid w:val="00E179B4"/>
    <w:rsid w:val="00E17FA2"/>
    <w:rsid w:val="00E22330"/>
    <w:rsid w:val="00E22602"/>
    <w:rsid w:val="00E25B57"/>
    <w:rsid w:val="00E25FB1"/>
    <w:rsid w:val="00E30B5A"/>
    <w:rsid w:val="00E3123D"/>
    <w:rsid w:val="00E31461"/>
    <w:rsid w:val="00E31A21"/>
    <w:rsid w:val="00E31BAE"/>
    <w:rsid w:val="00E31D43"/>
    <w:rsid w:val="00E32608"/>
    <w:rsid w:val="00E340C2"/>
    <w:rsid w:val="00E34188"/>
    <w:rsid w:val="00E34B6E"/>
    <w:rsid w:val="00E35559"/>
    <w:rsid w:val="00E3723A"/>
    <w:rsid w:val="00E37860"/>
    <w:rsid w:val="00E4131B"/>
    <w:rsid w:val="00E43FC7"/>
    <w:rsid w:val="00E446F1"/>
    <w:rsid w:val="00E44F23"/>
    <w:rsid w:val="00E45BF7"/>
    <w:rsid w:val="00E46886"/>
    <w:rsid w:val="00E4751E"/>
    <w:rsid w:val="00E47AEF"/>
    <w:rsid w:val="00E47F76"/>
    <w:rsid w:val="00E501A2"/>
    <w:rsid w:val="00E50B46"/>
    <w:rsid w:val="00E517C9"/>
    <w:rsid w:val="00E51962"/>
    <w:rsid w:val="00E5326C"/>
    <w:rsid w:val="00E53B75"/>
    <w:rsid w:val="00E548C5"/>
    <w:rsid w:val="00E54E3B"/>
    <w:rsid w:val="00E5750B"/>
    <w:rsid w:val="00E57565"/>
    <w:rsid w:val="00E57804"/>
    <w:rsid w:val="00E601A5"/>
    <w:rsid w:val="00E61BB9"/>
    <w:rsid w:val="00E63838"/>
    <w:rsid w:val="00E64434"/>
    <w:rsid w:val="00E648C4"/>
    <w:rsid w:val="00E64B85"/>
    <w:rsid w:val="00E65458"/>
    <w:rsid w:val="00E65F24"/>
    <w:rsid w:val="00E67C51"/>
    <w:rsid w:val="00E70A10"/>
    <w:rsid w:val="00E71433"/>
    <w:rsid w:val="00E7284B"/>
    <w:rsid w:val="00E72EFC"/>
    <w:rsid w:val="00E73A5F"/>
    <w:rsid w:val="00E74782"/>
    <w:rsid w:val="00E74D72"/>
    <w:rsid w:val="00E75137"/>
    <w:rsid w:val="00E758EC"/>
    <w:rsid w:val="00E7684D"/>
    <w:rsid w:val="00E7701B"/>
    <w:rsid w:val="00E808DD"/>
    <w:rsid w:val="00E8185B"/>
    <w:rsid w:val="00E8234C"/>
    <w:rsid w:val="00E82E95"/>
    <w:rsid w:val="00E838D7"/>
    <w:rsid w:val="00E83AA9"/>
    <w:rsid w:val="00E83EB7"/>
    <w:rsid w:val="00E84104"/>
    <w:rsid w:val="00E84204"/>
    <w:rsid w:val="00E8433D"/>
    <w:rsid w:val="00E85718"/>
    <w:rsid w:val="00E85767"/>
    <w:rsid w:val="00E85928"/>
    <w:rsid w:val="00E870E0"/>
    <w:rsid w:val="00E87822"/>
    <w:rsid w:val="00E87C76"/>
    <w:rsid w:val="00E87D3F"/>
    <w:rsid w:val="00E90395"/>
    <w:rsid w:val="00E90E49"/>
    <w:rsid w:val="00E917F9"/>
    <w:rsid w:val="00E928B1"/>
    <w:rsid w:val="00E9291C"/>
    <w:rsid w:val="00E93FFE"/>
    <w:rsid w:val="00E94F42"/>
    <w:rsid w:val="00E94F8A"/>
    <w:rsid w:val="00E95E5E"/>
    <w:rsid w:val="00E969B5"/>
    <w:rsid w:val="00EA0D80"/>
    <w:rsid w:val="00EA1CEA"/>
    <w:rsid w:val="00EA23B8"/>
    <w:rsid w:val="00EA2D7C"/>
    <w:rsid w:val="00EA3582"/>
    <w:rsid w:val="00EA5CA5"/>
    <w:rsid w:val="00EA60A1"/>
    <w:rsid w:val="00EA65F4"/>
    <w:rsid w:val="00EA7A41"/>
    <w:rsid w:val="00EB077B"/>
    <w:rsid w:val="00EB1FD2"/>
    <w:rsid w:val="00EB28C6"/>
    <w:rsid w:val="00EB2946"/>
    <w:rsid w:val="00EB3381"/>
    <w:rsid w:val="00EB3708"/>
    <w:rsid w:val="00EB4EA2"/>
    <w:rsid w:val="00EB5299"/>
    <w:rsid w:val="00EB5C8E"/>
    <w:rsid w:val="00EB7C0D"/>
    <w:rsid w:val="00EC05B6"/>
    <w:rsid w:val="00EC0F16"/>
    <w:rsid w:val="00EC1F97"/>
    <w:rsid w:val="00EC27C6"/>
    <w:rsid w:val="00EC2F40"/>
    <w:rsid w:val="00EC318C"/>
    <w:rsid w:val="00EC3E56"/>
    <w:rsid w:val="00EC3FBE"/>
    <w:rsid w:val="00EC4207"/>
    <w:rsid w:val="00EC48AC"/>
    <w:rsid w:val="00EC4D45"/>
    <w:rsid w:val="00EC5653"/>
    <w:rsid w:val="00EC622D"/>
    <w:rsid w:val="00EC71CE"/>
    <w:rsid w:val="00EC72FB"/>
    <w:rsid w:val="00ED1006"/>
    <w:rsid w:val="00ED16A0"/>
    <w:rsid w:val="00ED18C0"/>
    <w:rsid w:val="00ED3D86"/>
    <w:rsid w:val="00ED40FF"/>
    <w:rsid w:val="00ED4AD2"/>
    <w:rsid w:val="00ED5A81"/>
    <w:rsid w:val="00ED5CCB"/>
    <w:rsid w:val="00ED6244"/>
    <w:rsid w:val="00EE0984"/>
    <w:rsid w:val="00EE13B0"/>
    <w:rsid w:val="00EE25A2"/>
    <w:rsid w:val="00EE478E"/>
    <w:rsid w:val="00EE5539"/>
    <w:rsid w:val="00EE658D"/>
    <w:rsid w:val="00EE6C8F"/>
    <w:rsid w:val="00EF090B"/>
    <w:rsid w:val="00EF18FE"/>
    <w:rsid w:val="00EF25E9"/>
    <w:rsid w:val="00EF3DAA"/>
    <w:rsid w:val="00EF4E31"/>
    <w:rsid w:val="00EF4F6A"/>
    <w:rsid w:val="00EF52E6"/>
    <w:rsid w:val="00EF5787"/>
    <w:rsid w:val="00EF60D0"/>
    <w:rsid w:val="00EF6F94"/>
    <w:rsid w:val="00F010CE"/>
    <w:rsid w:val="00F019F2"/>
    <w:rsid w:val="00F024C3"/>
    <w:rsid w:val="00F02F63"/>
    <w:rsid w:val="00F03AE7"/>
    <w:rsid w:val="00F0405B"/>
    <w:rsid w:val="00F0528D"/>
    <w:rsid w:val="00F056F2"/>
    <w:rsid w:val="00F06BAC"/>
    <w:rsid w:val="00F06C67"/>
    <w:rsid w:val="00F06DFD"/>
    <w:rsid w:val="00F071D1"/>
    <w:rsid w:val="00F07533"/>
    <w:rsid w:val="00F10629"/>
    <w:rsid w:val="00F10E61"/>
    <w:rsid w:val="00F10F08"/>
    <w:rsid w:val="00F11BB9"/>
    <w:rsid w:val="00F13210"/>
    <w:rsid w:val="00F13534"/>
    <w:rsid w:val="00F14310"/>
    <w:rsid w:val="00F14485"/>
    <w:rsid w:val="00F14AC7"/>
    <w:rsid w:val="00F15FA5"/>
    <w:rsid w:val="00F16367"/>
    <w:rsid w:val="00F166CC"/>
    <w:rsid w:val="00F209B7"/>
    <w:rsid w:val="00F23157"/>
    <w:rsid w:val="00F2376F"/>
    <w:rsid w:val="00F243D8"/>
    <w:rsid w:val="00F24BCC"/>
    <w:rsid w:val="00F257AA"/>
    <w:rsid w:val="00F26698"/>
    <w:rsid w:val="00F27CD8"/>
    <w:rsid w:val="00F30828"/>
    <w:rsid w:val="00F313D6"/>
    <w:rsid w:val="00F347CD"/>
    <w:rsid w:val="00F35D41"/>
    <w:rsid w:val="00F37FFC"/>
    <w:rsid w:val="00F40F0C"/>
    <w:rsid w:val="00F411C6"/>
    <w:rsid w:val="00F423B5"/>
    <w:rsid w:val="00F42AED"/>
    <w:rsid w:val="00F44756"/>
    <w:rsid w:val="00F44C0A"/>
    <w:rsid w:val="00F47257"/>
    <w:rsid w:val="00F4766C"/>
    <w:rsid w:val="00F47D56"/>
    <w:rsid w:val="00F50637"/>
    <w:rsid w:val="00F507D1"/>
    <w:rsid w:val="00F5107E"/>
    <w:rsid w:val="00F51248"/>
    <w:rsid w:val="00F5195C"/>
    <w:rsid w:val="00F519CE"/>
    <w:rsid w:val="00F51ADA"/>
    <w:rsid w:val="00F529B3"/>
    <w:rsid w:val="00F52A70"/>
    <w:rsid w:val="00F5384B"/>
    <w:rsid w:val="00F54A0E"/>
    <w:rsid w:val="00F56723"/>
    <w:rsid w:val="00F573BF"/>
    <w:rsid w:val="00F5759F"/>
    <w:rsid w:val="00F57DA0"/>
    <w:rsid w:val="00F607C5"/>
    <w:rsid w:val="00F60DEA"/>
    <w:rsid w:val="00F61D01"/>
    <w:rsid w:val="00F6302A"/>
    <w:rsid w:val="00F646C7"/>
    <w:rsid w:val="00F64C2B"/>
    <w:rsid w:val="00F64FC7"/>
    <w:rsid w:val="00F651BE"/>
    <w:rsid w:val="00F6522C"/>
    <w:rsid w:val="00F65231"/>
    <w:rsid w:val="00F66F34"/>
    <w:rsid w:val="00F67D0A"/>
    <w:rsid w:val="00F67F53"/>
    <w:rsid w:val="00F703BE"/>
    <w:rsid w:val="00F71E32"/>
    <w:rsid w:val="00F71F69"/>
    <w:rsid w:val="00F72542"/>
    <w:rsid w:val="00F72716"/>
    <w:rsid w:val="00F72B72"/>
    <w:rsid w:val="00F7412F"/>
    <w:rsid w:val="00F74BB9"/>
    <w:rsid w:val="00F74E86"/>
    <w:rsid w:val="00F75582"/>
    <w:rsid w:val="00F75A7F"/>
    <w:rsid w:val="00F75B63"/>
    <w:rsid w:val="00F76A8E"/>
    <w:rsid w:val="00F76EFA"/>
    <w:rsid w:val="00F804BE"/>
    <w:rsid w:val="00F817CE"/>
    <w:rsid w:val="00F81DDF"/>
    <w:rsid w:val="00F825E8"/>
    <w:rsid w:val="00F82823"/>
    <w:rsid w:val="00F82DCD"/>
    <w:rsid w:val="00F8456C"/>
    <w:rsid w:val="00F859D8"/>
    <w:rsid w:val="00F85E2F"/>
    <w:rsid w:val="00F86330"/>
    <w:rsid w:val="00F868F5"/>
    <w:rsid w:val="00F87228"/>
    <w:rsid w:val="00F9056A"/>
    <w:rsid w:val="00F905C4"/>
    <w:rsid w:val="00F90F8D"/>
    <w:rsid w:val="00F9151F"/>
    <w:rsid w:val="00F91C7E"/>
    <w:rsid w:val="00F92782"/>
    <w:rsid w:val="00F939B5"/>
    <w:rsid w:val="00F93AA9"/>
    <w:rsid w:val="00F94ADB"/>
    <w:rsid w:val="00F96985"/>
    <w:rsid w:val="00F96A5C"/>
    <w:rsid w:val="00F97838"/>
    <w:rsid w:val="00F97A50"/>
    <w:rsid w:val="00FA17D8"/>
    <w:rsid w:val="00FA2BB3"/>
    <w:rsid w:val="00FA2E73"/>
    <w:rsid w:val="00FA59F1"/>
    <w:rsid w:val="00FA6D14"/>
    <w:rsid w:val="00FA7155"/>
    <w:rsid w:val="00FA7368"/>
    <w:rsid w:val="00FA756B"/>
    <w:rsid w:val="00FA7A9C"/>
    <w:rsid w:val="00FB110F"/>
    <w:rsid w:val="00FB1E0A"/>
    <w:rsid w:val="00FB3994"/>
    <w:rsid w:val="00FB4C80"/>
    <w:rsid w:val="00FB544A"/>
    <w:rsid w:val="00FB5A5E"/>
    <w:rsid w:val="00FB6A6A"/>
    <w:rsid w:val="00FC1CDD"/>
    <w:rsid w:val="00FC31F6"/>
    <w:rsid w:val="00FC3376"/>
    <w:rsid w:val="00FC354A"/>
    <w:rsid w:val="00FC3926"/>
    <w:rsid w:val="00FC3B29"/>
    <w:rsid w:val="00FC4A1C"/>
    <w:rsid w:val="00FC4AD0"/>
    <w:rsid w:val="00FC6E35"/>
    <w:rsid w:val="00FC73C6"/>
    <w:rsid w:val="00FC7429"/>
    <w:rsid w:val="00FC77F4"/>
    <w:rsid w:val="00FC7F9A"/>
    <w:rsid w:val="00FD0274"/>
    <w:rsid w:val="00FD07F6"/>
    <w:rsid w:val="00FD0B3C"/>
    <w:rsid w:val="00FD1EC8"/>
    <w:rsid w:val="00FD2B95"/>
    <w:rsid w:val="00FD3877"/>
    <w:rsid w:val="00FD3FB3"/>
    <w:rsid w:val="00FD47ED"/>
    <w:rsid w:val="00FD5612"/>
    <w:rsid w:val="00FD59E5"/>
    <w:rsid w:val="00FD74DB"/>
    <w:rsid w:val="00FD7660"/>
    <w:rsid w:val="00FE0655"/>
    <w:rsid w:val="00FE0960"/>
    <w:rsid w:val="00FE0A95"/>
    <w:rsid w:val="00FE2365"/>
    <w:rsid w:val="00FE3456"/>
    <w:rsid w:val="00FE4C7B"/>
    <w:rsid w:val="00FE5132"/>
    <w:rsid w:val="00FE7336"/>
    <w:rsid w:val="00FE787C"/>
    <w:rsid w:val="00FF06AF"/>
    <w:rsid w:val="00FF12A4"/>
    <w:rsid w:val="00FF1B46"/>
    <w:rsid w:val="00FF1B73"/>
    <w:rsid w:val="00FF252B"/>
    <w:rsid w:val="00FF3933"/>
    <w:rsid w:val="00FF3C6A"/>
    <w:rsid w:val="00FF45A5"/>
    <w:rsid w:val="00FF54C7"/>
    <w:rsid w:val="00FF5AB4"/>
    <w:rsid w:val="00FF5C54"/>
    <w:rsid w:val="00FF5C91"/>
    <w:rsid w:val="00FF5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C984C0"/>
  <w15:chartTrackingRefBased/>
  <w15:docId w15:val="{510501B5-96BC-441B-8E78-5C1AA2CCD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A500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A500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A500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A5007"/>
    <w:pPr>
      <w:numPr>
        <w:ilvl w:val="2"/>
      </w:numPr>
      <w:spacing w:before="120"/>
      <w:outlineLvl w:val="2"/>
    </w:pPr>
    <w:rPr>
      <w:sz w:val="28"/>
      <w:szCs w:val="28"/>
    </w:rPr>
  </w:style>
  <w:style w:type="paragraph" w:styleId="Heading4">
    <w:name w:val="heading 4"/>
    <w:basedOn w:val="Heading3"/>
    <w:next w:val="Normal"/>
    <w:qFormat/>
    <w:rsid w:val="00DA5007"/>
    <w:pPr>
      <w:numPr>
        <w:ilvl w:val="3"/>
      </w:numPr>
      <w:outlineLvl w:val="3"/>
    </w:pPr>
    <w:rPr>
      <w:sz w:val="24"/>
      <w:szCs w:val="24"/>
    </w:rPr>
  </w:style>
  <w:style w:type="paragraph" w:styleId="Heading5">
    <w:name w:val="heading 5"/>
    <w:basedOn w:val="Heading4"/>
    <w:next w:val="Normal"/>
    <w:qFormat/>
    <w:rsid w:val="00DA5007"/>
    <w:pPr>
      <w:numPr>
        <w:ilvl w:val="4"/>
      </w:numPr>
      <w:outlineLvl w:val="4"/>
    </w:pPr>
    <w:rPr>
      <w:sz w:val="22"/>
      <w:szCs w:val="22"/>
    </w:rPr>
  </w:style>
  <w:style w:type="paragraph" w:styleId="Heading6">
    <w:name w:val="heading 6"/>
    <w:basedOn w:val="Normal"/>
    <w:next w:val="Normal"/>
    <w:qFormat/>
    <w:rsid w:val="00DA5007"/>
    <w:pPr>
      <w:keepNext/>
      <w:keepLines/>
      <w:numPr>
        <w:ilvl w:val="5"/>
        <w:numId w:val="1"/>
      </w:numPr>
      <w:spacing w:before="120"/>
      <w:outlineLvl w:val="5"/>
    </w:pPr>
    <w:rPr>
      <w:rFonts w:cs="Arial"/>
    </w:rPr>
  </w:style>
  <w:style w:type="paragraph" w:styleId="Heading7">
    <w:name w:val="heading 7"/>
    <w:basedOn w:val="Normal"/>
    <w:next w:val="Normal"/>
    <w:qFormat/>
    <w:rsid w:val="00DA5007"/>
    <w:pPr>
      <w:keepNext/>
      <w:keepLines/>
      <w:numPr>
        <w:ilvl w:val="6"/>
        <w:numId w:val="1"/>
      </w:numPr>
      <w:spacing w:before="120"/>
      <w:outlineLvl w:val="6"/>
    </w:pPr>
    <w:rPr>
      <w:rFonts w:cs="Arial"/>
    </w:rPr>
  </w:style>
  <w:style w:type="paragraph" w:styleId="Heading8">
    <w:name w:val="heading 8"/>
    <w:basedOn w:val="Heading7"/>
    <w:next w:val="Normal"/>
    <w:qFormat/>
    <w:rsid w:val="00DA5007"/>
    <w:pPr>
      <w:numPr>
        <w:ilvl w:val="7"/>
      </w:numPr>
      <w:outlineLvl w:val="7"/>
    </w:pPr>
  </w:style>
  <w:style w:type="paragraph" w:styleId="Heading9">
    <w:name w:val="heading 9"/>
    <w:basedOn w:val="Heading8"/>
    <w:next w:val="Normal"/>
    <w:qFormat/>
    <w:rsid w:val="00DA500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A5007"/>
    <w:pPr>
      <w:spacing w:before="180"/>
      <w:ind w:left="2693" w:hanging="2693"/>
    </w:pPr>
    <w:rPr>
      <w:b w:val="0"/>
      <w:bCs/>
    </w:rPr>
  </w:style>
  <w:style w:type="paragraph" w:styleId="TOC1">
    <w:name w:val="toc 1"/>
    <w:aliases w:val="Observation TOC2"/>
    <w:uiPriority w:val="39"/>
    <w:rsid w:val="00DA500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A5007"/>
    <w:pPr>
      <w:keepNext/>
      <w:keepLines/>
      <w:spacing w:before="180"/>
      <w:jc w:val="center"/>
    </w:pPr>
  </w:style>
  <w:style w:type="paragraph" w:styleId="Caption">
    <w:name w:val="caption"/>
    <w:basedOn w:val="Normal"/>
    <w:next w:val="Normal"/>
    <w:qFormat/>
    <w:rsid w:val="00DA5007"/>
    <w:pPr>
      <w:spacing w:after="240"/>
      <w:jc w:val="center"/>
    </w:pPr>
    <w:rPr>
      <w:b/>
      <w:bCs/>
    </w:rPr>
  </w:style>
  <w:style w:type="paragraph" w:styleId="TOC5">
    <w:name w:val="toc 5"/>
    <w:aliases w:val="Observation TOC"/>
    <w:basedOn w:val="TOC4"/>
    <w:semiHidden/>
    <w:rsid w:val="00DA5007"/>
    <w:pPr>
      <w:tabs>
        <w:tab w:val="right" w:pos="1701"/>
      </w:tabs>
      <w:ind w:left="1701" w:hanging="1701"/>
    </w:pPr>
  </w:style>
  <w:style w:type="paragraph" w:styleId="TOC4">
    <w:name w:val="toc 4"/>
    <w:basedOn w:val="TOC3"/>
    <w:semiHidden/>
    <w:rsid w:val="00DA5007"/>
    <w:pPr>
      <w:ind w:left="1418" w:hanging="1418"/>
    </w:pPr>
  </w:style>
  <w:style w:type="paragraph" w:styleId="TOC3">
    <w:name w:val="toc 3"/>
    <w:basedOn w:val="TOC2"/>
    <w:semiHidden/>
    <w:rsid w:val="00DA5007"/>
    <w:pPr>
      <w:ind w:left="1134" w:hanging="1134"/>
    </w:pPr>
  </w:style>
  <w:style w:type="paragraph" w:styleId="TOC2">
    <w:name w:val="toc 2"/>
    <w:basedOn w:val="TOC1"/>
    <w:semiHidden/>
    <w:rsid w:val="00DA5007"/>
    <w:pPr>
      <w:keepNext w:val="0"/>
      <w:spacing w:before="0"/>
      <w:ind w:left="851" w:hanging="851"/>
    </w:pPr>
    <w:rPr>
      <w:szCs w:val="20"/>
    </w:rPr>
  </w:style>
  <w:style w:type="paragraph" w:styleId="Index2">
    <w:name w:val="index 2"/>
    <w:basedOn w:val="Index1"/>
    <w:semiHidden/>
    <w:rsid w:val="00DA5007"/>
    <w:pPr>
      <w:ind w:left="284"/>
    </w:pPr>
  </w:style>
  <w:style w:type="paragraph" w:styleId="Index1">
    <w:name w:val="index 1"/>
    <w:basedOn w:val="Normal"/>
    <w:semiHidden/>
    <w:rsid w:val="00DA5007"/>
    <w:pPr>
      <w:keepLines/>
      <w:spacing w:after="0"/>
    </w:pPr>
  </w:style>
  <w:style w:type="paragraph" w:styleId="DocumentMap">
    <w:name w:val="Document Map"/>
    <w:basedOn w:val="Normal"/>
    <w:semiHidden/>
    <w:rsid w:val="00DA5007"/>
    <w:pPr>
      <w:shd w:val="clear" w:color="auto" w:fill="000080"/>
    </w:pPr>
    <w:rPr>
      <w:rFonts w:ascii="Tahoma" w:hAnsi="Tahoma" w:cs="Tahoma"/>
    </w:rPr>
  </w:style>
  <w:style w:type="paragraph" w:styleId="ListNumber2">
    <w:name w:val="List Number 2"/>
    <w:basedOn w:val="ListNumber"/>
    <w:rsid w:val="00DA5007"/>
    <w:pPr>
      <w:ind w:left="851"/>
    </w:pPr>
  </w:style>
  <w:style w:type="paragraph" w:styleId="ListNumber">
    <w:name w:val="List Number"/>
    <w:basedOn w:val="List"/>
    <w:rsid w:val="00DA5007"/>
  </w:style>
  <w:style w:type="paragraph" w:styleId="List">
    <w:name w:val="List"/>
    <w:basedOn w:val="Normal"/>
    <w:rsid w:val="00DA5007"/>
    <w:pPr>
      <w:ind w:left="568" w:hanging="284"/>
    </w:pPr>
  </w:style>
  <w:style w:type="paragraph" w:styleId="Header">
    <w:name w:val="header"/>
    <w:rsid w:val="00DA500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A5007"/>
    <w:rPr>
      <w:b/>
      <w:bCs/>
      <w:position w:val="6"/>
      <w:sz w:val="16"/>
      <w:szCs w:val="16"/>
    </w:rPr>
  </w:style>
  <w:style w:type="paragraph" w:styleId="FootnoteText">
    <w:name w:val="footnote text"/>
    <w:basedOn w:val="Normal"/>
    <w:semiHidden/>
    <w:rsid w:val="00DA5007"/>
    <w:pPr>
      <w:keepLines/>
      <w:spacing w:after="0"/>
      <w:ind w:left="454" w:hanging="454"/>
    </w:pPr>
    <w:rPr>
      <w:sz w:val="16"/>
      <w:szCs w:val="16"/>
    </w:rPr>
  </w:style>
  <w:style w:type="paragraph" w:customStyle="1" w:styleId="3GPPHeader">
    <w:name w:val="3GPP_Header"/>
    <w:basedOn w:val="Normal"/>
    <w:rsid w:val="00DA5007"/>
    <w:pPr>
      <w:tabs>
        <w:tab w:val="left" w:pos="1701"/>
        <w:tab w:val="right" w:pos="9639"/>
      </w:tabs>
      <w:spacing w:after="240"/>
    </w:pPr>
    <w:rPr>
      <w:b/>
      <w:sz w:val="24"/>
    </w:rPr>
  </w:style>
  <w:style w:type="paragraph" w:styleId="TOC9">
    <w:name w:val="toc 9"/>
    <w:basedOn w:val="TOC8"/>
    <w:semiHidden/>
    <w:rsid w:val="00DA5007"/>
    <w:pPr>
      <w:ind w:left="1418" w:hanging="1418"/>
    </w:pPr>
  </w:style>
  <w:style w:type="paragraph" w:styleId="TOC6">
    <w:name w:val="toc 6"/>
    <w:basedOn w:val="TOC5"/>
    <w:next w:val="Normal"/>
    <w:semiHidden/>
    <w:rsid w:val="00DA5007"/>
    <w:pPr>
      <w:ind w:left="1985" w:hanging="1985"/>
    </w:pPr>
  </w:style>
  <w:style w:type="paragraph" w:styleId="TOC7">
    <w:name w:val="toc 7"/>
    <w:basedOn w:val="TOC6"/>
    <w:next w:val="Normal"/>
    <w:semiHidden/>
    <w:rsid w:val="00DA5007"/>
    <w:pPr>
      <w:ind w:left="2268" w:hanging="2268"/>
    </w:pPr>
  </w:style>
  <w:style w:type="paragraph" w:styleId="ListBullet2">
    <w:name w:val="List Bullet 2"/>
    <w:basedOn w:val="ListBullet"/>
    <w:rsid w:val="00DA5007"/>
    <w:pPr>
      <w:numPr>
        <w:numId w:val="6"/>
      </w:numPr>
    </w:pPr>
  </w:style>
  <w:style w:type="paragraph" w:styleId="ListBullet">
    <w:name w:val="List Bullet"/>
    <w:basedOn w:val="BodyText"/>
    <w:rsid w:val="00DA5007"/>
    <w:pPr>
      <w:numPr>
        <w:numId w:val="5"/>
      </w:numPr>
    </w:pPr>
  </w:style>
  <w:style w:type="paragraph" w:styleId="ListBullet3">
    <w:name w:val="List Bullet 3"/>
    <w:basedOn w:val="ListBullet2"/>
    <w:rsid w:val="00DA5007"/>
    <w:pPr>
      <w:numPr>
        <w:numId w:val="7"/>
      </w:numPr>
    </w:pPr>
  </w:style>
  <w:style w:type="paragraph" w:customStyle="1" w:styleId="EQ">
    <w:name w:val="EQ"/>
    <w:basedOn w:val="Normal"/>
    <w:next w:val="Normal"/>
    <w:rsid w:val="00DA5007"/>
    <w:pPr>
      <w:keepLines/>
      <w:tabs>
        <w:tab w:val="center" w:pos="4536"/>
        <w:tab w:val="right" w:pos="9072"/>
      </w:tabs>
      <w:spacing w:after="180"/>
      <w:jc w:val="left"/>
    </w:pPr>
    <w:rPr>
      <w:noProof/>
      <w:lang w:eastAsia="en-US"/>
    </w:rPr>
  </w:style>
  <w:style w:type="paragraph" w:styleId="List2">
    <w:name w:val="List 2"/>
    <w:basedOn w:val="List"/>
    <w:rsid w:val="00DA5007"/>
    <w:pPr>
      <w:ind w:left="851"/>
    </w:pPr>
  </w:style>
  <w:style w:type="paragraph" w:styleId="List3">
    <w:name w:val="List 3"/>
    <w:basedOn w:val="List2"/>
    <w:rsid w:val="00DA5007"/>
    <w:pPr>
      <w:ind w:left="1135"/>
    </w:pPr>
  </w:style>
  <w:style w:type="paragraph" w:styleId="List4">
    <w:name w:val="List 4"/>
    <w:basedOn w:val="List3"/>
    <w:rsid w:val="00DA5007"/>
    <w:pPr>
      <w:ind w:left="1418"/>
    </w:pPr>
  </w:style>
  <w:style w:type="paragraph" w:styleId="List5">
    <w:name w:val="List 5"/>
    <w:basedOn w:val="List4"/>
    <w:rsid w:val="00DA5007"/>
    <w:pPr>
      <w:ind w:left="1702"/>
    </w:pPr>
  </w:style>
  <w:style w:type="paragraph" w:customStyle="1" w:styleId="EditorsNote">
    <w:name w:val="Editor's Note"/>
    <w:aliases w:val="EN"/>
    <w:basedOn w:val="Normal"/>
    <w:link w:val="EditorsNoteChar"/>
    <w:rsid w:val="00DA5007"/>
    <w:pPr>
      <w:keepLines/>
      <w:spacing w:after="180"/>
      <w:ind w:left="1135" w:hanging="851"/>
      <w:jc w:val="left"/>
    </w:pPr>
    <w:rPr>
      <w:color w:val="FF0000"/>
      <w:lang w:eastAsia="en-US"/>
    </w:rPr>
  </w:style>
  <w:style w:type="paragraph" w:styleId="ListBullet4">
    <w:name w:val="List Bullet 4"/>
    <w:basedOn w:val="ListBullet3"/>
    <w:rsid w:val="00DA5007"/>
    <w:pPr>
      <w:numPr>
        <w:numId w:val="8"/>
      </w:numPr>
    </w:pPr>
  </w:style>
  <w:style w:type="paragraph" w:styleId="ListBullet5">
    <w:name w:val="List Bullet 5"/>
    <w:basedOn w:val="ListBullet4"/>
    <w:rsid w:val="00DA5007"/>
    <w:pPr>
      <w:numPr>
        <w:numId w:val="4"/>
      </w:numPr>
    </w:pPr>
  </w:style>
  <w:style w:type="paragraph" w:styleId="Footer">
    <w:name w:val="footer"/>
    <w:basedOn w:val="Header"/>
    <w:semiHidden/>
    <w:rsid w:val="00DA5007"/>
    <w:pPr>
      <w:jc w:val="center"/>
    </w:pPr>
    <w:rPr>
      <w:i/>
      <w:iCs/>
    </w:rPr>
  </w:style>
  <w:style w:type="paragraph" w:customStyle="1" w:styleId="Reference">
    <w:name w:val="Reference"/>
    <w:basedOn w:val="Normal"/>
    <w:rsid w:val="00DA5007"/>
    <w:pPr>
      <w:numPr>
        <w:numId w:val="2"/>
      </w:numPr>
    </w:pPr>
  </w:style>
  <w:style w:type="paragraph" w:styleId="BalloonText">
    <w:name w:val="Balloon Text"/>
    <w:basedOn w:val="Normal"/>
    <w:semiHidden/>
    <w:rsid w:val="00DA5007"/>
    <w:rPr>
      <w:rFonts w:ascii="Tahoma" w:hAnsi="Tahoma" w:cs="Tahoma"/>
      <w:sz w:val="16"/>
      <w:szCs w:val="16"/>
    </w:rPr>
  </w:style>
  <w:style w:type="character" w:styleId="PageNumber">
    <w:name w:val="page number"/>
    <w:semiHidden/>
    <w:rsid w:val="00DA5007"/>
  </w:style>
  <w:style w:type="paragraph" w:styleId="BodyText">
    <w:name w:val="Body Text"/>
    <w:basedOn w:val="Normal"/>
    <w:link w:val="BodyTextChar"/>
    <w:rsid w:val="00DA5007"/>
  </w:style>
  <w:style w:type="character" w:styleId="Hyperlink">
    <w:name w:val="Hyperlink"/>
    <w:uiPriority w:val="99"/>
    <w:rsid w:val="00DA5007"/>
    <w:rPr>
      <w:color w:val="0000FF"/>
      <w:u w:val="single"/>
      <w:lang w:val="en-GB"/>
    </w:rPr>
  </w:style>
  <w:style w:type="character" w:styleId="FollowedHyperlink">
    <w:name w:val="FollowedHyperlink"/>
    <w:semiHidden/>
    <w:rsid w:val="00DA5007"/>
    <w:rPr>
      <w:color w:val="FF0000"/>
      <w:u w:val="single"/>
    </w:rPr>
  </w:style>
  <w:style w:type="character" w:styleId="CommentReference">
    <w:name w:val="annotation reference"/>
    <w:semiHidden/>
    <w:rsid w:val="00DA5007"/>
    <w:rPr>
      <w:sz w:val="16"/>
      <w:szCs w:val="16"/>
    </w:rPr>
  </w:style>
  <w:style w:type="paragraph" w:styleId="CommentText">
    <w:name w:val="annotation text"/>
    <w:basedOn w:val="Normal"/>
    <w:semiHidden/>
    <w:rsid w:val="00DA5007"/>
  </w:style>
  <w:style w:type="paragraph" w:styleId="CommentSubject">
    <w:name w:val="annotation subject"/>
    <w:basedOn w:val="CommentText"/>
    <w:next w:val="CommentText"/>
    <w:semiHidden/>
    <w:rsid w:val="00DA5007"/>
    <w:rPr>
      <w:b/>
      <w:bCs/>
    </w:rPr>
  </w:style>
  <w:style w:type="character" w:customStyle="1" w:styleId="Heading1Char">
    <w:name w:val="Heading 1 Char"/>
    <w:link w:val="Heading1"/>
    <w:rsid w:val="00DA5007"/>
    <w:rPr>
      <w:rFonts w:ascii="Arial" w:hAnsi="Arial" w:cs="Arial"/>
      <w:sz w:val="36"/>
      <w:szCs w:val="36"/>
      <w:lang w:val="en-GB" w:eastAsia="zh-CN"/>
    </w:rPr>
  </w:style>
  <w:style w:type="paragraph" w:customStyle="1" w:styleId="B1">
    <w:name w:val="B1"/>
    <w:basedOn w:val="List"/>
    <w:link w:val="B1Char1"/>
    <w:rsid w:val="00DA5007"/>
    <w:pPr>
      <w:spacing w:after="180"/>
      <w:jc w:val="left"/>
    </w:pPr>
    <w:rPr>
      <w:lang w:eastAsia="en-US"/>
    </w:rPr>
  </w:style>
  <w:style w:type="paragraph" w:customStyle="1" w:styleId="B2">
    <w:name w:val="B2"/>
    <w:basedOn w:val="List2"/>
    <w:link w:val="B2Char"/>
    <w:rsid w:val="00DA5007"/>
    <w:pPr>
      <w:spacing w:after="180"/>
      <w:jc w:val="left"/>
    </w:pPr>
    <w:rPr>
      <w:lang w:eastAsia="en-US"/>
    </w:rPr>
  </w:style>
  <w:style w:type="paragraph" w:customStyle="1" w:styleId="B3">
    <w:name w:val="B3"/>
    <w:basedOn w:val="List3"/>
    <w:rsid w:val="00DA5007"/>
    <w:pPr>
      <w:spacing w:after="180"/>
      <w:jc w:val="left"/>
    </w:pPr>
    <w:rPr>
      <w:lang w:eastAsia="en-US"/>
    </w:rPr>
  </w:style>
  <w:style w:type="paragraph" w:customStyle="1" w:styleId="B4">
    <w:name w:val="B4"/>
    <w:basedOn w:val="List4"/>
    <w:rsid w:val="00DA5007"/>
    <w:pPr>
      <w:spacing w:after="180"/>
      <w:jc w:val="left"/>
    </w:pPr>
    <w:rPr>
      <w:lang w:eastAsia="en-US"/>
    </w:rPr>
  </w:style>
  <w:style w:type="paragraph" w:customStyle="1" w:styleId="Proposal">
    <w:name w:val="Proposal"/>
    <w:basedOn w:val="Normal"/>
    <w:rsid w:val="00DA5007"/>
    <w:pPr>
      <w:numPr>
        <w:numId w:val="3"/>
      </w:numPr>
      <w:tabs>
        <w:tab w:val="left" w:pos="1701"/>
      </w:tabs>
    </w:pPr>
    <w:rPr>
      <w:b/>
      <w:bCs/>
    </w:rPr>
  </w:style>
  <w:style w:type="character" w:customStyle="1" w:styleId="BodyTextChar">
    <w:name w:val="Body Text Char"/>
    <w:link w:val="BodyText"/>
    <w:rsid w:val="00DA5007"/>
    <w:rPr>
      <w:rFonts w:ascii="Arial" w:hAnsi="Arial"/>
      <w:lang w:val="en-GB"/>
    </w:rPr>
  </w:style>
  <w:style w:type="paragraph" w:customStyle="1" w:styleId="B5">
    <w:name w:val="B5"/>
    <w:basedOn w:val="List5"/>
    <w:rsid w:val="00DA5007"/>
    <w:pPr>
      <w:spacing w:after="180"/>
      <w:jc w:val="left"/>
    </w:pPr>
    <w:rPr>
      <w:lang w:eastAsia="en-US"/>
    </w:rPr>
  </w:style>
  <w:style w:type="paragraph" w:customStyle="1" w:styleId="EX">
    <w:name w:val="EX"/>
    <w:basedOn w:val="Normal"/>
    <w:rsid w:val="00DA5007"/>
    <w:pPr>
      <w:keepLines/>
      <w:spacing w:after="180"/>
      <w:ind w:left="1702" w:hanging="1418"/>
      <w:jc w:val="left"/>
    </w:pPr>
    <w:rPr>
      <w:lang w:eastAsia="en-US"/>
    </w:rPr>
  </w:style>
  <w:style w:type="paragraph" w:customStyle="1" w:styleId="EW">
    <w:name w:val="EW"/>
    <w:basedOn w:val="EX"/>
    <w:rsid w:val="00DA5007"/>
    <w:pPr>
      <w:spacing w:after="0"/>
    </w:pPr>
  </w:style>
  <w:style w:type="paragraph" w:customStyle="1" w:styleId="TAL">
    <w:name w:val="TAL"/>
    <w:basedOn w:val="Normal"/>
    <w:link w:val="TALCar"/>
    <w:rsid w:val="00DA5007"/>
    <w:pPr>
      <w:keepNext/>
      <w:keepLines/>
      <w:spacing w:after="0"/>
      <w:jc w:val="left"/>
    </w:pPr>
    <w:rPr>
      <w:sz w:val="18"/>
      <w:lang w:eastAsia="en-US"/>
    </w:rPr>
  </w:style>
  <w:style w:type="paragraph" w:customStyle="1" w:styleId="TAC">
    <w:name w:val="TAC"/>
    <w:basedOn w:val="TAL"/>
    <w:rsid w:val="00DA5007"/>
    <w:pPr>
      <w:jc w:val="center"/>
    </w:pPr>
  </w:style>
  <w:style w:type="paragraph" w:customStyle="1" w:styleId="TAH">
    <w:name w:val="TAH"/>
    <w:basedOn w:val="TAC"/>
    <w:link w:val="TAHCar"/>
    <w:rsid w:val="00DA5007"/>
    <w:rPr>
      <w:b/>
    </w:rPr>
  </w:style>
  <w:style w:type="paragraph" w:customStyle="1" w:styleId="TAN">
    <w:name w:val="TAN"/>
    <w:basedOn w:val="TAL"/>
    <w:rsid w:val="00DA5007"/>
    <w:pPr>
      <w:ind w:left="851" w:hanging="851"/>
    </w:pPr>
  </w:style>
  <w:style w:type="paragraph" w:customStyle="1" w:styleId="TAR">
    <w:name w:val="TAR"/>
    <w:basedOn w:val="TAL"/>
    <w:rsid w:val="00DA5007"/>
    <w:pPr>
      <w:jc w:val="right"/>
    </w:pPr>
  </w:style>
  <w:style w:type="paragraph" w:customStyle="1" w:styleId="TH">
    <w:name w:val="TH"/>
    <w:basedOn w:val="Normal"/>
    <w:link w:val="THChar"/>
    <w:rsid w:val="00DA5007"/>
    <w:pPr>
      <w:keepNext/>
      <w:keepLines/>
      <w:spacing w:before="60" w:after="180"/>
      <w:jc w:val="center"/>
    </w:pPr>
    <w:rPr>
      <w:b/>
      <w:lang w:eastAsia="en-US"/>
    </w:rPr>
  </w:style>
  <w:style w:type="paragraph" w:customStyle="1" w:styleId="TF">
    <w:name w:val="TF"/>
    <w:aliases w:val="left"/>
    <w:basedOn w:val="TH"/>
    <w:link w:val="TFChar"/>
    <w:rsid w:val="00DA5007"/>
    <w:pPr>
      <w:keepNext w:val="0"/>
      <w:spacing w:before="0" w:after="240"/>
    </w:pPr>
  </w:style>
  <w:style w:type="paragraph" w:customStyle="1" w:styleId="TT">
    <w:name w:val="TT"/>
    <w:basedOn w:val="Heading1"/>
    <w:next w:val="Normal"/>
    <w:rsid w:val="00DA5007"/>
    <w:pPr>
      <w:numPr>
        <w:numId w:val="0"/>
      </w:numPr>
      <w:ind w:left="1134" w:hanging="1134"/>
      <w:outlineLvl w:val="9"/>
    </w:pPr>
    <w:rPr>
      <w:rFonts w:cs="Times New Roman"/>
      <w:szCs w:val="20"/>
      <w:lang w:eastAsia="en-US"/>
    </w:rPr>
  </w:style>
  <w:style w:type="paragraph" w:customStyle="1" w:styleId="ZA">
    <w:name w:val="ZA"/>
    <w:rsid w:val="00DA50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50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A500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A500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A5007"/>
  </w:style>
  <w:style w:type="paragraph" w:customStyle="1" w:styleId="ZH">
    <w:name w:val="ZH"/>
    <w:rsid w:val="00DA500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A50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A5007"/>
    <w:pPr>
      <w:framePr w:hRule="auto" w:wrap="notBeside" w:y="852"/>
    </w:pPr>
    <w:rPr>
      <w:i w:val="0"/>
      <w:sz w:val="40"/>
    </w:rPr>
  </w:style>
  <w:style w:type="paragraph" w:customStyle="1" w:styleId="ZU">
    <w:name w:val="ZU"/>
    <w:rsid w:val="00DA50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A5007"/>
    <w:pPr>
      <w:framePr w:wrap="notBeside" w:y="16161"/>
    </w:pPr>
  </w:style>
  <w:style w:type="paragraph" w:customStyle="1" w:styleId="FP">
    <w:name w:val="FP"/>
    <w:basedOn w:val="Normal"/>
    <w:rsid w:val="00DA5007"/>
    <w:pPr>
      <w:spacing w:after="0"/>
      <w:jc w:val="left"/>
    </w:pPr>
    <w:rPr>
      <w:lang w:eastAsia="en-US"/>
    </w:rPr>
  </w:style>
  <w:style w:type="paragraph" w:customStyle="1" w:styleId="Observation">
    <w:name w:val="Observation"/>
    <w:basedOn w:val="Proposal"/>
    <w:qFormat/>
    <w:rsid w:val="00DA5007"/>
    <w:pPr>
      <w:numPr>
        <w:numId w:val="9"/>
      </w:numPr>
      <w:ind w:left="1701" w:hanging="1701"/>
    </w:pPr>
  </w:style>
  <w:style w:type="paragraph" w:styleId="TableofFigures">
    <w:name w:val="table of figures"/>
    <w:basedOn w:val="Normal"/>
    <w:next w:val="Normal"/>
    <w:uiPriority w:val="99"/>
    <w:rsid w:val="00DA5007"/>
    <w:pPr>
      <w:ind w:left="1418" w:hanging="1418"/>
      <w:jc w:val="left"/>
    </w:pPr>
    <w:rPr>
      <w:b/>
    </w:rPr>
  </w:style>
  <w:style w:type="character" w:customStyle="1" w:styleId="B1Char1">
    <w:name w:val="B1 Char1"/>
    <w:link w:val="B1"/>
    <w:locked/>
    <w:rsid w:val="00D042F6"/>
    <w:rPr>
      <w:rFonts w:ascii="Arial" w:hAnsi="Arial"/>
      <w:lang w:val="en-GB" w:eastAsia="en-US"/>
    </w:rPr>
  </w:style>
  <w:style w:type="character" w:customStyle="1" w:styleId="EditorsNoteChar">
    <w:name w:val="Editor's Note Char"/>
    <w:link w:val="EditorsNote"/>
    <w:locked/>
    <w:rsid w:val="00D042F6"/>
    <w:rPr>
      <w:rFonts w:ascii="Arial" w:hAnsi="Arial"/>
      <w:color w:val="FF0000"/>
      <w:lang w:val="en-GB" w:eastAsia="en-US"/>
    </w:rPr>
  </w:style>
  <w:style w:type="character" w:customStyle="1" w:styleId="B2Char">
    <w:name w:val="B2 Char"/>
    <w:link w:val="B2"/>
    <w:locked/>
    <w:rsid w:val="00D042F6"/>
    <w:rPr>
      <w:rFonts w:ascii="Arial" w:hAnsi="Arial"/>
      <w:lang w:val="en-GB" w:eastAsia="en-US"/>
    </w:rPr>
  </w:style>
  <w:style w:type="character" w:customStyle="1" w:styleId="TALCar">
    <w:name w:val="TAL Car"/>
    <w:link w:val="TAL"/>
    <w:rsid w:val="00136FF4"/>
    <w:rPr>
      <w:rFonts w:ascii="Arial" w:hAnsi="Arial"/>
      <w:sz w:val="18"/>
      <w:lang w:val="en-GB"/>
    </w:rPr>
  </w:style>
  <w:style w:type="character" w:customStyle="1" w:styleId="TAHCar">
    <w:name w:val="TAH Car"/>
    <w:link w:val="TAH"/>
    <w:locked/>
    <w:rsid w:val="00136FF4"/>
    <w:rPr>
      <w:rFonts w:ascii="Arial" w:hAnsi="Arial"/>
      <w:b/>
      <w:sz w:val="18"/>
      <w:lang w:val="en-GB"/>
    </w:rPr>
  </w:style>
  <w:style w:type="paragraph" w:styleId="Revision">
    <w:name w:val="Revision"/>
    <w:hidden/>
    <w:uiPriority w:val="99"/>
    <w:semiHidden/>
    <w:rsid w:val="00CA3F52"/>
    <w:rPr>
      <w:rFonts w:ascii="Arial" w:hAnsi="Arial"/>
      <w:lang w:val="en-GB" w:eastAsia="zh-CN"/>
    </w:rPr>
  </w:style>
  <w:style w:type="paragraph" w:styleId="ListParagraph">
    <w:name w:val="List Paragraph"/>
    <w:basedOn w:val="Normal"/>
    <w:uiPriority w:val="34"/>
    <w:qFormat/>
    <w:rsid w:val="004366C6"/>
    <w:pPr>
      <w:overflowPunct/>
      <w:autoSpaceDE/>
      <w:autoSpaceDN/>
      <w:adjustRightInd/>
      <w:spacing w:after="0"/>
      <w:ind w:left="720"/>
      <w:jc w:val="left"/>
      <w:textAlignment w:val="auto"/>
    </w:pPr>
    <w:rPr>
      <w:rFonts w:ascii="Calibri" w:eastAsia="Calibri" w:hAnsi="Calibri"/>
      <w:sz w:val="22"/>
      <w:szCs w:val="22"/>
      <w:lang w:val="en-US" w:eastAsia="en-US"/>
    </w:rPr>
  </w:style>
  <w:style w:type="paragraph" w:customStyle="1" w:styleId="PL">
    <w:name w:val="PL"/>
    <w:link w:val="PLChar"/>
    <w:rsid w:val="00D95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D95611"/>
    <w:rPr>
      <w:rFonts w:ascii="Courier New" w:hAnsi="Courier New"/>
      <w:noProof/>
      <w:sz w:val="16"/>
    </w:rPr>
  </w:style>
  <w:style w:type="character" w:customStyle="1" w:styleId="THChar">
    <w:name w:val="TH Char"/>
    <w:link w:val="TH"/>
    <w:rsid w:val="00D95611"/>
    <w:rPr>
      <w:rFonts w:ascii="Arial" w:hAnsi="Arial"/>
      <w:b/>
      <w:lang w:val="en-GB"/>
    </w:rPr>
  </w:style>
  <w:style w:type="paragraph" w:styleId="NormalWeb">
    <w:name w:val="Normal (Web)"/>
    <w:basedOn w:val="Normal"/>
    <w:uiPriority w:val="99"/>
    <w:unhideWhenUsed/>
    <w:rsid w:val="00075A2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styleId="PlaceholderText">
    <w:name w:val="Placeholder Text"/>
    <w:basedOn w:val="DefaultParagraphFont"/>
    <w:uiPriority w:val="99"/>
    <w:semiHidden/>
    <w:rsid w:val="003E3BA9"/>
    <w:rPr>
      <w:color w:val="808080"/>
    </w:rPr>
  </w:style>
  <w:style w:type="character" w:customStyle="1" w:styleId="TFChar">
    <w:name w:val="TF Char"/>
    <w:link w:val="TF"/>
    <w:locked/>
    <w:rsid w:val="00E7701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0154">
      <w:bodyDiv w:val="1"/>
      <w:marLeft w:val="0"/>
      <w:marRight w:val="0"/>
      <w:marTop w:val="0"/>
      <w:marBottom w:val="0"/>
      <w:divBdr>
        <w:top w:val="none" w:sz="0" w:space="0" w:color="auto"/>
        <w:left w:val="none" w:sz="0" w:space="0" w:color="auto"/>
        <w:bottom w:val="none" w:sz="0" w:space="0" w:color="auto"/>
        <w:right w:val="none" w:sz="0" w:space="0" w:color="auto"/>
      </w:divBdr>
    </w:div>
    <w:div w:id="53554681">
      <w:bodyDiv w:val="1"/>
      <w:marLeft w:val="0"/>
      <w:marRight w:val="0"/>
      <w:marTop w:val="0"/>
      <w:marBottom w:val="0"/>
      <w:divBdr>
        <w:top w:val="none" w:sz="0" w:space="0" w:color="auto"/>
        <w:left w:val="none" w:sz="0" w:space="0" w:color="auto"/>
        <w:bottom w:val="none" w:sz="0" w:space="0" w:color="auto"/>
        <w:right w:val="none" w:sz="0" w:space="0" w:color="auto"/>
      </w:divBdr>
      <w:divsChild>
        <w:div w:id="49380471">
          <w:marLeft w:val="1973"/>
          <w:marRight w:val="0"/>
          <w:marTop w:val="72"/>
          <w:marBottom w:val="0"/>
          <w:divBdr>
            <w:top w:val="none" w:sz="0" w:space="0" w:color="auto"/>
            <w:left w:val="none" w:sz="0" w:space="0" w:color="auto"/>
            <w:bottom w:val="none" w:sz="0" w:space="0" w:color="auto"/>
            <w:right w:val="none" w:sz="0" w:space="0" w:color="auto"/>
          </w:divBdr>
        </w:div>
        <w:div w:id="57287521">
          <w:marLeft w:val="1411"/>
          <w:marRight w:val="0"/>
          <w:marTop w:val="82"/>
          <w:marBottom w:val="0"/>
          <w:divBdr>
            <w:top w:val="none" w:sz="0" w:space="0" w:color="auto"/>
            <w:left w:val="none" w:sz="0" w:space="0" w:color="auto"/>
            <w:bottom w:val="none" w:sz="0" w:space="0" w:color="auto"/>
            <w:right w:val="none" w:sz="0" w:space="0" w:color="auto"/>
          </w:divBdr>
        </w:div>
        <w:div w:id="66928629">
          <w:marLeft w:val="1973"/>
          <w:marRight w:val="0"/>
          <w:marTop w:val="82"/>
          <w:marBottom w:val="0"/>
          <w:divBdr>
            <w:top w:val="none" w:sz="0" w:space="0" w:color="auto"/>
            <w:left w:val="none" w:sz="0" w:space="0" w:color="auto"/>
            <w:bottom w:val="none" w:sz="0" w:space="0" w:color="auto"/>
            <w:right w:val="none" w:sz="0" w:space="0" w:color="auto"/>
          </w:divBdr>
        </w:div>
        <w:div w:id="519903893">
          <w:marLeft w:val="1973"/>
          <w:marRight w:val="0"/>
          <w:marTop w:val="82"/>
          <w:marBottom w:val="0"/>
          <w:divBdr>
            <w:top w:val="none" w:sz="0" w:space="0" w:color="auto"/>
            <w:left w:val="none" w:sz="0" w:space="0" w:color="auto"/>
            <w:bottom w:val="none" w:sz="0" w:space="0" w:color="auto"/>
            <w:right w:val="none" w:sz="0" w:space="0" w:color="auto"/>
          </w:divBdr>
        </w:div>
        <w:div w:id="596910536">
          <w:marLeft w:val="274"/>
          <w:marRight w:val="0"/>
          <w:marTop w:val="91"/>
          <w:marBottom w:val="0"/>
          <w:divBdr>
            <w:top w:val="none" w:sz="0" w:space="0" w:color="auto"/>
            <w:left w:val="none" w:sz="0" w:space="0" w:color="auto"/>
            <w:bottom w:val="none" w:sz="0" w:space="0" w:color="auto"/>
            <w:right w:val="none" w:sz="0" w:space="0" w:color="auto"/>
          </w:divBdr>
        </w:div>
        <w:div w:id="770011439">
          <w:marLeft w:val="835"/>
          <w:marRight w:val="0"/>
          <w:marTop w:val="82"/>
          <w:marBottom w:val="0"/>
          <w:divBdr>
            <w:top w:val="none" w:sz="0" w:space="0" w:color="auto"/>
            <w:left w:val="none" w:sz="0" w:space="0" w:color="auto"/>
            <w:bottom w:val="none" w:sz="0" w:space="0" w:color="auto"/>
            <w:right w:val="none" w:sz="0" w:space="0" w:color="auto"/>
          </w:divBdr>
        </w:div>
        <w:div w:id="878782239">
          <w:marLeft w:val="274"/>
          <w:marRight w:val="0"/>
          <w:marTop w:val="91"/>
          <w:marBottom w:val="0"/>
          <w:divBdr>
            <w:top w:val="none" w:sz="0" w:space="0" w:color="auto"/>
            <w:left w:val="none" w:sz="0" w:space="0" w:color="auto"/>
            <w:bottom w:val="none" w:sz="0" w:space="0" w:color="auto"/>
            <w:right w:val="none" w:sz="0" w:space="0" w:color="auto"/>
          </w:divBdr>
        </w:div>
        <w:div w:id="1126465116">
          <w:marLeft w:val="835"/>
          <w:marRight w:val="0"/>
          <w:marTop w:val="72"/>
          <w:marBottom w:val="0"/>
          <w:divBdr>
            <w:top w:val="none" w:sz="0" w:space="0" w:color="auto"/>
            <w:left w:val="none" w:sz="0" w:space="0" w:color="auto"/>
            <w:bottom w:val="none" w:sz="0" w:space="0" w:color="auto"/>
            <w:right w:val="none" w:sz="0" w:space="0" w:color="auto"/>
          </w:divBdr>
        </w:div>
        <w:div w:id="1366904092">
          <w:marLeft w:val="274"/>
          <w:marRight w:val="0"/>
          <w:marTop w:val="91"/>
          <w:marBottom w:val="0"/>
          <w:divBdr>
            <w:top w:val="none" w:sz="0" w:space="0" w:color="auto"/>
            <w:left w:val="none" w:sz="0" w:space="0" w:color="auto"/>
            <w:bottom w:val="none" w:sz="0" w:space="0" w:color="auto"/>
            <w:right w:val="none" w:sz="0" w:space="0" w:color="auto"/>
          </w:divBdr>
        </w:div>
        <w:div w:id="1384981869">
          <w:marLeft w:val="1973"/>
          <w:marRight w:val="0"/>
          <w:marTop w:val="82"/>
          <w:marBottom w:val="0"/>
          <w:divBdr>
            <w:top w:val="none" w:sz="0" w:space="0" w:color="auto"/>
            <w:left w:val="none" w:sz="0" w:space="0" w:color="auto"/>
            <w:bottom w:val="none" w:sz="0" w:space="0" w:color="auto"/>
            <w:right w:val="none" w:sz="0" w:space="0" w:color="auto"/>
          </w:divBdr>
        </w:div>
        <w:div w:id="1460412248">
          <w:marLeft w:val="835"/>
          <w:marRight w:val="0"/>
          <w:marTop w:val="82"/>
          <w:marBottom w:val="0"/>
          <w:divBdr>
            <w:top w:val="none" w:sz="0" w:space="0" w:color="auto"/>
            <w:left w:val="none" w:sz="0" w:space="0" w:color="auto"/>
            <w:bottom w:val="none" w:sz="0" w:space="0" w:color="auto"/>
            <w:right w:val="none" w:sz="0" w:space="0" w:color="auto"/>
          </w:divBdr>
        </w:div>
        <w:div w:id="1550727082">
          <w:marLeft w:val="835"/>
          <w:marRight w:val="0"/>
          <w:marTop w:val="72"/>
          <w:marBottom w:val="0"/>
          <w:divBdr>
            <w:top w:val="none" w:sz="0" w:space="0" w:color="auto"/>
            <w:left w:val="none" w:sz="0" w:space="0" w:color="auto"/>
            <w:bottom w:val="none" w:sz="0" w:space="0" w:color="auto"/>
            <w:right w:val="none" w:sz="0" w:space="0" w:color="auto"/>
          </w:divBdr>
        </w:div>
        <w:div w:id="1910921626">
          <w:marLeft w:val="274"/>
          <w:marRight w:val="0"/>
          <w:marTop w:val="91"/>
          <w:marBottom w:val="0"/>
          <w:divBdr>
            <w:top w:val="none" w:sz="0" w:space="0" w:color="auto"/>
            <w:left w:val="none" w:sz="0" w:space="0" w:color="auto"/>
            <w:bottom w:val="none" w:sz="0" w:space="0" w:color="auto"/>
            <w:right w:val="none" w:sz="0" w:space="0" w:color="auto"/>
          </w:divBdr>
        </w:div>
        <w:div w:id="2013794652">
          <w:marLeft w:val="835"/>
          <w:marRight w:val="0"/>
          <w:marTop w:val="82"/>
          <w:marBottom w:val="0"/>
          <w:divBdr>
            <w:top w:val="none" w:sz="0" w:space="0" w:color="auto"/>
            <w:left w:val="none" w:sz="0" w:space="0" w:color="auto"/>
            <w:bottom w:val="none" w:sz="0" w:space="0" w:color="auto"/>
            <w:right w:val="none" w:sz="0" w:space="0" w:color="auto"/>
          </w:divBdr>
        </w:div>
        <w:div w:id="2089499997">
          <w:marLeft w:val="1411"/>
          <w:marRight w:val="0"/>
          <w:marTop w:val="82"/>
          <w:marBottom w:val="0"/>
          <w:divBdr>
            <w:top w:val="none" w:sz="0" w:space="0" w:color="auto"/>
            <w:left w:val="none" w:sz="0" w:space="0" w:color="auto"/>
            <w:bottom w:val="none" w:sz="0" w:space="0" w:color="auto"/>
            <w:right w:val="none" w:sz="0" w:space="0" w:color="auto"/>
          </w:divBdr>
        </w:div>
      </w:divsChild>
    </w:div>
    <w:div w:id="73170131">
      <w:bodyDiv w:val="1"/>
      <w:marLeft w:val="0"/>
      <w:marRight w:val="0"/>
      <w:marTop w:val="0"/>
      <w:marBottom w:val="0"/>
      <w:divBdr>
        <w:top w:val="none" w:sz="0" w:space="0" w:color="auto"/>
        <w:left w:val="none" w:sz="0" w:space="0" w:color="auto"/>
        <w:bottom w:val="none" w:sz="0" w:space="0" w:color="auto"/>
        <w:right w:val="none" w:sz="0" w:space="0" w:color="auto"/>
      </w:divBdr>
      <w:divsChild>
        <w:div w:id="1052920107">
          <w:marLeft w:val="1973"/>
          <w:marRight w:val="0"/>
          <w:marTop w:val="86"/>
          <w:marBottom w:val="0"/>
          <w:divBdr>
            <w:top w:val="none" w:sz="0" w:space="0" w:color="auto"/>
            <w:left w:val="none" w:sz="0" w:space="0" w:color="auto"/>
            <w:bottom w:val="none" w:sz="0" w:space="0" w:color="auto"/>
            <w:right w:val="none" w:sz="0" w:space="0" w:color="auto"/>
          </w:divBdr>
        </w:div>
      </w:divsChild>
    </w:div>
    <w:div w:id="100533384">
      <w:bodyDiv w:val="1"/>
      <w:marLeft w:val="0"/>
      <w:marRight w:val="0"/>
      <w:marTop w:val="0"/>
      <w:marBottom w:val="0"/>
      <w:divBdr>
        <w:top w:val="none" w:sz="0" w:space="0" w:color="auto"/>
        <w:left w:val="none" w:sz="0" w:space="0" w:color="auto"/>
        <w:bottom w:val="none" w:sz="0" w:space="0" w:color="auto"/>
        <w:right w:val="none" w:sz="0" w:space="0" w:color="auto"/>
      </w:divBdr>
      <w:divsChild>
        <w:div w:id="468324649">
          <w:marLeft w:val="835"/>
          <w:marRight w:val="0"/>
          <w:marTop w:val="58"/>
          <w:marBottom w:val="0"/>
          <w:divBdr>
            <w:top w:val="none" w:sz="0" w:space="0" w:color="auto"/>
            <w:left w:val="none" w:sz="0" w:space="0" w:color="auto"/>
            <w:bottom w:val="none" w:sz="0" w:space="0" w:color="auto"/>
            <w:right w:val="none" w:sz="0" w:space="0" w:color="auto"/>
          </w:divBdr>
        </w:div>
        <w:div w:id="1334188491">
          <w:marLeft w:val="835"/>
          <w:marRight w:val="0"/>
          <w:marTop w:val="58"/>
          <w:marBottom w:val="0"/>
          <w:divBdr>
            <w:top w:val="none" w:sz="0" w:space="0" w:color="auto"/>
            <w:left w:val="none" w:sz="0" w:space="0" w:color="auto"/>
            <w:bottom w:val="none" w:sz="0" w:space="0" w:color="auto"/>
            <w:right w:val="none" w:sz="0" w:space="0" w:color="auto"/>
          </w:divBdr>
        </w:div>
      </w:divsChild>
    </w:div>
    <w:div w:id="104427024">
      <w:bodyDiv w:val="1"/>
      <w:marLeft w:val="0"/>
      <w:marRight w:val="0"/>
      <w:marTop w:val="0"/>
      <w:marBottom w:val="0"/>
      <w:divBdr>
        <w:top w:val="none" w:sz="0" w:space="0" w:color="auto"/>
        <w:left w:val="none" w:sz="0" w:space="0" w:color="auto"/>
        <w:bottom w:val="none" w:sz="0" w:space="0" w:color="auto"/>
        <w:right w:val="none" w:sz="0" w:space="0" w:color="auto"/>
      </w:divBdr>
    </w:div>
    <w:div w:id="156264237">
      <w:bodyDiv w:val="1"/>
      <w:marLeft w:val="0"/>
      <w:marRight w:val="0"/>
      <w:marTop w:val="0"/>
      <w:marBottom w:val="0"/>
      <w:divBdr>
        <w:top w:val="none" w:sz="0" w:space="0" w:color="auto"/>
        <w:left w:val="none" w:sz="0" w:space="0" w:color="auto"/>
        <w:bottom w:val="none" w:sz="0" w:space="0" w:color="auto"/>
        <w:right w:val="none" w:sz="0" w:space="0" w:color="auto"/>
      </w:divBdr>
      <w:divsChild>
        <w:div w:id="331496119">
          <w:marLeft w:val="1411"/>
          <w:marRight w:val="0"/>
          <w:marTop w:val="86"/>
          <w:marBottom w:val="0"/>
          <w:divBdr>
            <w:top w:val="none" w:sz="0" w:space="0" w:color="auto"/>
            <w:left w:val="none" w:sz="0" w:space="0" w:color="auto"/>
            <w:bottom w:val="none" w:sz="0" w:space="0" w:color="auto"/>
            <w:right w:val="none" w:sz="0" w:space="0" w:color="auto"/>
          </w:divBdr>
        </w:div>
      </w:divsChild>
    </w:div>
    <w:div w:id="329413270">
      <w:bodyDiv w:val="1"/>
      <w:marLeft w:val="0"/>
      <w:marRight w:val="0"/>
      <w:marTop w:val="0"/>
      <w:marBottom w:val="0"/>
      <w:divBdr>
        <w:top w:val="none" w:sz="0" w:space="0" w:color="auto"/>
        <w:left w:val="none" w:sz="0" w:space="0" w:color="auto"/>
        <w:bottom w:val="none" w:sz="0" w:space="0" w:color="auto"/>
        <w:right w:val="none" w:sz="0" w:space="0" w:color="auto"/>
      </w:divBdr>
    </w:div>
    <w:div w:id="473137135">
      <w:bodyDiv w:val="1"/>
      <w:marLeft w:val="0"/>
      <w:marRight w:val="0"/>
      <w:marTop w:val="0"/>
      <w:marBottom w:val="0"/>
      <w:divBdr>
        <w:top w:val="none" w:sz="0" w:space="0" w:color="auto"/>
        <w:left w:val="none" w:sz="0" w:space="0" w:color="auto"/>
        <w:bottom w:val="none" w:sz="0" w:space="0" w:color="auto"/>
        <w:right w:val="none" w:sz="0" w:space="0" w:color="auto"/>
      </w:divBdr>
    </w:div>
    <w:div w:id="545412921">
      <w:bodyDiv w:val="1"/>
      <w:marLeft w:val="0"/>
      <w:marRight w:val="0"/>
      <w:marTop w:val="0"/>
      <w:marBottom w:val="0"/>
      <w:divBdr>
        <w:top w:val="none" w:sz="0" w:space="0" w:color="auto"/>
        <w:left w:val="none" w:sz="0" w:space="0" w:color="auto"/>
        <w:bottom w:val="none" w:sz="0" w:space="0" w:color="auto"/>
        <w:right w:val="none" w:sz="0" w:space="0" w:color="auto"/>
      </w:divBdr>
    </w:div>
    <w:div w:id="674914930">
      <w:bodyDiv w:val="1"/>
      <w:marLeft w:val="0"/>
      <w:marRight w:val="0"/>
      <w:marTop w:val="0"/>
      <w:marBottom w:val="0"/>
      <w:divBdr>
        <w:top w:val="none" w:sz="0" w:space="0" w:color="auto"/>
        <w:left w:val="none" w:sz="0" w:space="0" w:color="auto"/>
        <w:bottom w:val="none" w:sz="0" w:space="0" w:color="auto"/>
        <w:right w:val="none" w:sz="0" w:space="0" w:color="auto"/>
      </w:divBdr>
      <w:divsChild>
        <w:div w:id="1875262815">
          <w:marLeft w:val="806"/>
          <w:marRight w:val="0"/>
          <w:marTop w:val="120"/>
          <w:marBottom w:val="0"/>
          <w:divBdr>
            <w:top w:val="none" w:sz="0" w:space="0" w:color="auto"/>
            <w:left w:val="none" w:sz="0" w:space="0" w:color="auto"/>
            <w:bottom w:val="none" w:sz="0" w:space="0" w:color="auto"/>
            <w:right w:val="none" w:sz="0" w:space="0" w:color="auto"/>
          </w:divBdr>
        </w:div>
        <w:div w:id="1163156874">
          <w:marLeft w:val="1440"/>
          <w:marRight w:val="0"/>
          <w:marTop w:val="106"/>
          <w:marBottom w:val="0"/>
          <w:divBdr>
            <w:top w:val="none" w:sz="0" w:space="0" w:color="auto"/>
            <w:left w:val="none" w:sz="0" w:space="0" w:color="auto"/>
            <w:bottom w:val="none" w:sz="0" w:space="0" w:color="auto"/>
            <w:right w:val="none" w:sz="0" w:space="0" w:color="auto"/>
          </w:divBdr>
        </w:div>
      </w:divsChild>
    </w:div>
    <w:div w:id="692531907">
      <w:bodyDiv w:val="1"/>
      <w:marLeft w:val="0"/>
      <w:marRight w:val="0"/>
      <w:marTop w:val="0"/>
      <w:marBottom w:val="0"/>
      <w:divBdr>
        <w:top w:val="none" w:sz="0" w:space="0" w:color="auto"/>
        <w:left w:val="none" w:sz="0" w:space="0" w:color="auto"/>
        <w:bottom w:val="none" w:sz="0" w:space="0" w:color="auto"/>
        <w:right w:val="none" w:sz="0" w:space="0" w:color="auto"/>
      </w:divBdr>
    </w:div>
    <w:div w:id="738405926">
      <w:bodyDiv w:val="1"/>
      <w:marLeft w:val="0"/>
      <w:marRight w:val="0"/>
      <w:marTop w:val="0"/>
      <w:marBottom w:val="0"/>
      <w:divBdr>
        <w:top w:val="none" w:sz="0" w:space="0" w:color="auto"/>
        <w:left w:val="none" w:sz="0" w:space="0" w:color="auto"/>
        <w:bottom w:val="none" w:sz="0" w:space="0" w:color="auto"/>
        <w:right w:val="none" w:sz="0" w:space="0" w:color="auto"/>
      </w:divBdr>
    </w:div>
    <w:div w:id="762453608">
      <w:bodyDiv w:val="1"/>
      <w:marLeft w:val="0"/>
      <w:marRight w:val="0"/>
      <w:marTop w:val="0"/>
      <w:marBottom w:val="0"/>
      <w:divBdr>
        <w:top w:val="none" w:sz="0" w:space="0" w:color="auto"/>
        <w:left w:val="none" w:sz="0" w:space="0" w:color="auto"/>
        <w:bottom w:val="none" w:sz="0" w:space="0" w:color="auto"/>
        <w:right w:val="none" w:sz="0" w:space="0" w:color="auto"/>
      </w:divBdr>
      <w:divsChild>
        <w:div w:id="9306844">
          <w:marLeft w:val="1973"/>
          <w:marRight w:val="0"/>
          <w:marTop w:val="86"/>
          <w:marBottom w:val="0"/>
          <w:divBdr>
            <w:top w:val="none" w:sz="0" w:space="0" w:color="auto"/>
            <w:left w:val="none" w:sz="0" w:space="0" w:color="auto"/>
            <w:bottom w:val="none" w:sz="0" w:space="0" w:color="auto"/>
            <w:right w:val="none" w:sz="0" w:space="0" w:color="auto"/>
          </w:divBdr>
        </w:div>
        <w:div w:id="278412600">
          <w:marLeft w:val="1411"/>
          <w:marRight w:val="0"/>
          <w:marTop w:val="86"/>
          <w:marBottom w:val="0"/>
          <w:divBdr>
            <w:top w:val="none" w:sz="0" w:space="0" w:color="auto"/>
            <w:left w:val="none" w:sz="0" w:space="0" w:color="auto"/>
            <w:bottom w:val="none" w:sz="0" w:space="0" w:color="auto"/>
            <w:right w:val="none" w:sz="0" w:space="0" w:color="auto"/>
          </w:divBdr>
        </w:div>
        <w:div w:id="411894682">
          <w:marLeft w:val="1973"/>
          <w:marRight w:val="0"/>
          <w:marTop w:val="86"/>
          <w:marBottom w:val="0"/>
          <w:divBdr>
            <w:top w:val="none" w:sz="0" w:space="0" w:color="auto"/>
            <w:left w:val="none" w:sz="0" w:space="0" w:color="auto"/>
            <w:bottom w:val="none" w:sz="0" w:space="0" w:color="auto"/>
            <w:right w:val="none" w:sz="0" w:space="0" w:color="auto"/>
          </w:divBdr>
        </w:div>
      </w:divsChild>
    </w:div>
    <w:div w:id="781802549">
      <w:bodyDiv w:val="1"/>
      <w:marLeft w:val="0"/>
      <w:marRight w:val="0"/>
      <w:marTop w:val="0"/>
      <w:marBottom w:val="0"/>
      <w:divBdr>
        <w:top w:val="none" w:sz="0" w:space="0" w:color="auto"/>
        <w:left w:val="none" w:sz="0" w:space="0" w:color="auto"/>
        <w:bottom w:val="none" w:sz="0" w:space="0" w:color="auto"/>
        <w:right w:val="none" w:sz="0" w:space="0" w:color="auto"/>
      </w:divBdr>
    </w:div>
    <w:div w:id="783768586">
      <w:bodyDiv w:val="1"/>
      <w:marLeft w:val="0"/>
      <w:marRight w:val="0"/>
      <w:marTop w:val="0"/>
      <w:marBottom w:val="0"/>
      <w:divBdr>
        <w:top w:val="none" w:sz="0" w:space="0" w:color="auto"/>
        <w:left w:val="none" w:sz="0" w:space="0" w:color="auto"/>
        <w:bottom w:val="none" w:sz="0" w:space="0" w:color="auto"/>
        <w:right w:val="none" w:sz="0" w:space="0" w:color="auto"/>
      </w:divBdr>
    </w:div>
    <w:div w:id="819153207">
      <w:bodyDiv w:val="1"/>
      <w:marLeft w:val="0"/>
      <w:marRight w:val="0"/>
      <w:marTop w:val="0"/>
      <w:marBottom w:val="0"/>
      <w:divBdr>
        <w:top w:val="none" w:sz="0" w:space="0" w:color="auto"/>
        <w:left w:val="none" w:sz="0" w:space="0" w:color="auto"/>
        <w:bottom w:val="none" w:sz="0" w:space="0" w:color="auto"/>
        <w:right w:val="none" w:sz="0" w:space="0" w:color="auto"/>
      </w:divBdr>
    </w:div>
    <w:div w:id="1038967426">
      <w:bodyDiv w:val="1"/>
      <w:marLeft w:val="0"/>
      <w:marRight w:val="0"/>
      <w:marTop w:val="0"/>
      <w:marBottom w:val="0"/>
      <w:divBdr>
        <w:top w:val="none" w:sz="0" w:space="0" w:color="auto"/>
        <w:left w:val="none" w:sz="0" w:space="0" w:color="auto"/>
        <w:bottom w:val="none" w:sz="0" w:space="0" w:color="auto"/>
        <w:right w:val="none" w:sz="0" w:space="0" w:color="auto"/>
      </w:divBdr>
    </w:div>
    <w:div w:id="1059671456">
      <w:bodyDiv w:val="1"/>
      <w:marLeft w:val="0"/>
      <w:marRight w:val="0"/>
      <w:marTop w:val="0"/>
      <w:marBottom w:val="0"/>
      <w:divBdr>
        <w:top w:val="none" w:sz="0" w:space="0" w:color="auto"/>
        <w:left w:val="none" w:sz="0" w:space="0" w:color="auto"/>
        <w:bottom w:val="none" w:sz="0" w:space="0" w:color="auto"/>
        <w:right w:val="none" w:sz="0" w:space="0" w:color="auto"/>
      </w:divBdr>
    </w:div>
    <w:div w:id="1196189032">
      <w:bodyDiv w:val="1"/>
      <w:marLeft w:val="0"/>
      <w:marRight w:val="0"/>
      <w:marTop w:val="0"/>
      <w:marBottom w:val="0"/>
      <w:divBdr>
        <w:top w:val="none" w:sz="0" w:space="0" w:color="auto"/>
        <w:left w:val="none" w:sz="0" w:space="0" w:color="auto"/>
        <w:bottom w:val="none" w:sz="0" w:space="0" w:color="auto"/>
        <w:right w:val="none" w:sz="0" w:space="0" w:color="auto"/>
      </w:divBdr>
      <w:divsChild>
        <w:div w:id="190723895">
          <w:marLeft w:val="1656"/>
          <w:marRight w:val="0"/>
          <w:marTop w:val="144"/>
          <w:marBottom w:val="0"/>
          <w:divBdr>
            <w:top w:val="none" w:sz="0" w:space="0" w:color="auto"/>
            <w:left w:val="none" w:sz="0" w:space="0" w:color="auto"/>
            <w:bottom w:val="none" w:sz="0" w:space="0" w:color="auto"/>
            <w:right w:val="none" w:sz="0" w:space="0" w:color="auto"/>
          </w:divBdr>
        </w:div>
        <w:div w:id="250938970">
          <w:marLeft w:val="1656"/>
          <w:marRight w:val="0"/>
          <w:marTop w:val="144"/>
          <w:marBottom w:val="0"/>
          <w:divBdr>
            <w:top w:val="none" w:sz="0" w:space="0" w:color="auto"/>
            <w:left w:val="none" w:sz="0" w:space="0" w:color="auto"/>
            <w:bottom w:val="none" w:sz="0" w:space="0" w:color="auto"/>
            <w:right w:val="none" w:sz="0" w:space="0" w:color="auto"/>
          </w:divBdr>
        </w:div>
        <w:div w:id="783691114">
          <w:marLeft w:val="1656"/>
          <w:marRight w:val="0"/>
          <w:marTop w:val="144"/>
          <w:marBottom w:val="0"/>
          <w:divBdr>
            <w:top w:val="none" w:sz="0" w:space="0" w:color="auto"/>
            <w:left w:val="none" w:sz="0" w:space="0" w:color="auto"/>
            <w:bottom w:val="none" w:sz="0" w:space="0" w:color="auto"/>
            <w:right w:val="none" w:sz="0" w:space="0" w:color="auto"/>
          </w:divBdr>
        </w:div>
        <w:div w:id="1208952500">
          <w:marLeft w:val="1656"/>
          <w:marRight w:val="0"/>
          <w:marTop w:val="144"/>
          <w:marBottom w:val="0"/>
          <w:divBdr>
            <w:top w:val="none" w:sz="0" w:space="0" w:color="auto"/>
            <w:left w:val="none" w:sz="0" w:space="0" w:color="auto"/>
            <w:bottom w:val="none" w:sz="0" w:space="0" w:color="auto"/>
            <w:right w:val="none" w:sz="0" w:space="0" w:color="auto"/>
          </w:divBdr>
        </w:div>
      </w:divsChild>
    </w:div>
    <w:div w:id="1196308607">
      <w:bodyDiv w:val="1"/>
      <w:marLeft w:val="0"/>
      <w:marRight w:val="0"/>
      <w:marTop w:val="0"/>
      <w:marBottom w:val="0"/>
      <w:divBdr>
        <w:top w:val="none" w:sz="0" w:space="0" w:color="auto"/>
        <w:left w:val="none" w:sz="0" w:space="0" w:color="auto"/>
        <w:bottom w:val="none" w:sz="0" w:space="0" w:color="auto"/>
        <w:right w:val="none" w:sz="0" w:space="0" w:color="auto"/>
      </w:divBdr>
      <w:divsChild>
        <w:div w:id="1012804006">
          <w:marLeft w:val="274"/>
          <w:marRight w:val="0"/>
          <w:marTop w:val="96"/>
          <w:marBottom w:val="0"/>
          <w:divBdr>
            <w:top w:val="none" w:sz="0" w:space="0" w:color="auto"/>
            <w:left w:val="none" w:sz="0" w:space="0" w:color="auto"/>
            <w:bottom w:val="none" w:sz="0" w:space="0" w:color="auto"/>
            <w:right w:val="none" w:sz="0" w:space="0" w:color="auto"/>
          </w:divBdr>
        </w:div>
      </w:divsChild>
    </w:div>
    <w:div w:id="1238049516">
      <w:bodyDiv w:val="1"/>
      <w:marLeft w:val="0"/>
      <w:marRight w:val="0"/>
      <w:marTop w:val="0"/>
      <w:marBottom w:val="0"/>
      <w:divBdr>
        <w:top w:val="none" w:sz="0" w:space="0" w:color="auto"/>
        <w:left w:val="none" w:sz="0" w:space="0" w:color="auto"/>
        <w:bottom w:val="none" w:sz="0" w:space="0" w:color="auto"/>
        <w:right w:val="none" w:sz="0" w:space="0" w:color="auto"/>
      </w:divBdr>
    </w:div>
    <w:div w:id="1266838896">
      <w:bodyDiv w:val="1"/>
      <w:marLeft w:val="0"/>
      <w:marRight w:val="0"/>
      <w:marTop w:val="0"/>
      <w:marBottom w:val="0"/>
      <w:divBdr>
        <w:top w:val="none" w:sz="0" w:space="0" w:color="auto"/>
        <w:left w:val="none" w:sz="0" w:space="0" w:color="auto"/>
        <w:bottom w:val="none" w:sz="0" w:space="0" w:color="auto"/>
        <w:right w:val="none" w:sz="0" w:space="0" w:color="auto"/>
      </w:divBdr>
      <w:divsChild>
        <w:div w:id="1120490761">
          <w:marLeft w:val="1411"/>
          <w:marRight w:val="0"/>
          <w:marTop w:val="86"/>
          <w:marBottom w:val="0"/>
          <w:divBdr>
            <w:top w:val="none" w:sz="0" w:space="0" w:color="auto"/>
            <w:left w:val="none" w:sz="0" w:space="0" w:color="auto"/>
            <w:bottom w:val="none" w:sz="0" w:space="0" w:color="auto"/>
            <w:right w:val="none" w:sz="0" w:space="0" w:color="auto"/>
          </w:divBdr>
        </w:div>
      </w:divsChild>
    </w:div>
    <w:div w:id="1271475232">
      <w:bodyDiv w:val="1"/>
      <w:marLeft w:val="0"/>
      <w:marRight w:val="0"/>
      <w:marTop w:val="0"/>
      <w:marBottom w:val="0"/>
      <w:divBdr>
        <w:top w:val="none" w:sz="0" w:space="0" w:color="auto"/>
        <w:left w:val="none" w:sz="0" w:space="0" w:color="auto"/>
        <w:bottom w:val="none" w:sz="0" w:space="0" w:color="auto"/>
        <w:right w:val="none" w:sz="0" w:space="0" w:color="auto"/>
      </w:divBdr>
    </w:div>
    <w:div w:id="1370229319">
      <w:bodyDiv w:val="1"/>
      <w:marLeft w:val="0"/>
      <w:marRight w:val="0"/>
      <w:marTop w:val="0"/>
      <w:marBottom w:val="0"/>
      <w:divBdr>
        <w:top w:val="none" w:sz="0" w:space="0" w:color="auto"/>
        <w:left w:val="none" w:sz="0" w:space="0" w:color="auto"/>
        <w:bottom w:val="none" w:sz="0" w:space="0" w:color="auto"/>
        <w:right w:val="none" w:sz="0" w:space="0" w:color="auto"/>
      </w:divBdr>
    </w:div>
    <w:div w:id="1396270730">
      <w:bodyDiv w:val="1"/>
      <w:marLeft w:val="0"/>
      <w:marRight w:val="0"/>
      <w:marTop w:val="0"/>
      <w:marBottom w:val="0"/>
      <w:divBdr>
        <w:top w:val="none" w:sz="0" w:space="0" w:color="auto"/>
        <w:left w:val="none" w:sz="0" w:space="0" w:color="auto"/>
        <w:bottom w:val="none" w:sz="0" w:space="0" w:color="auto"/>
        <w:right w:val="none" w:sz="0" w:space="0" w:color="auto"/>
      </w:divBdr>
      <w:divsChild>
        <w:div w:id="2000109328">
          <w:marLeft w:val="1411"/>
          <w:marRight w:val="0"/>
          <w:marTop w:val="86"/>
          <w:marBottom w:val="0"/>
          <w:divBdr>
            <w:top w:val="none" w:sz="0" w:space="0" w:color="auto"/>
            <w:left w:val="none" w:sz="0" w:space="0" w:color="auto"/>
            <w:bottom w:val="none" w:sz="0" w:space="0" w:color="auto"/>
            <w:right w:val="none" w:sz="0" w:space="0" w:color="auto"/>
          </w:divBdr>
        </w:div>
      </w:divsChild>
    </w:div>
    <w:div w:id="1477186132">
      <w:bodyDiv w:val="1"/>
      <w:marLeft w:val="0"/>
      <w:marRight w:val="0"/>
      <w:marTop w:val="0"/>
      <w:marBottom w:val="0"/>
      <w:divBdr>
        <w:top w:val="none" w:sz="0" w:space="0" w:color="auto"/>
        <w:left w:val="none" w:sz="0" w:space="0" w:color="auto"/>
        <w:bottom w:val="none" w:sz="0" w:space="0" w:color="auto"/>
        <w:right w:val="none" w:sz="0" w:space="0" w:color="auto"/>
      </w:divBdr>
      <w:divsChild>
        <w:div w:id="1726677688">
          <w:marLeft w:val="274"/>
          <w:marRight w:val="0"/>
          <w:marTop w:val="115"/>
          <w:marBottom w:val="0"/>
          <w:divBdr>
            <w:top w:val="none" w:sz="0" w:space="0" w:color="auto"/>
            <w:left w:val="none" w:sz="0" w:space="0" w:color="auto"/>
            <w:bottom w:val="none" w:sz="0" w:space="0" w:color="auto"/>
            <w:right w:val="none" w:sz="0" w:space="0" w:color="auto"/>
          </w:divBdr>
        </w:div>
        <w:div w:id="2063600479">
          <w:marLeft w:val="835"/>
          <w:marRight w:val="0"/>
          <w:marTop w:val="96"/>
          <w:marBottom w:val="0"/>
          <w:divBdr>
            <w:top w:val="none" w:sz="0" w:space="0" w:color="auto"/>
            <w:left w:val="none" w:sz="0" w:space="0" w:color="auto"/>
            <w:bottom w:val="none" w:sz="0" w:space="0" w:color="auto"/>
            <w:right w:val="none" w:sz="0" w:space="0" w:color="auto"/>
          </w:divBdr>
        </w:div>
      </w:divsChild>
    </w:div>
    <w:div w:id="1561400423">
      <w:bodyDiv w:val="1"/>
      <w:marLeft w:val="0"/>
      <w:marRight w:val="0"/>
      <w:marTop w:val="0"/>
      <w:marBottom w:val="0"/>
      <w:divBdr>
        <w:top w:val="none" w:sz="0" w:space="0" w:color="auto"/>
        <w:left w:val="none" w:sz="0" w:space="0" w:color="auto"/>
        <w:bottom w:val="none" w:sz="0" w:space="0" w:color="auto"/>
        <w:right w:val="none" w:sz="0" w:space="0" w:color="auto"/>
      </w:divBdr>
    </w:div>
    <w:div w:id="1584676900">
      <w:bodyDiv w:val="1"/>
      <w:marLeft w:val="0"/>
      <w:marRight w:val="0"/>
      <w:marTop w:val="0"/>
      <w:marBottom w:val="0"/>
      <w:divBdr>
        <w:top w:val="none" w:sz="0" w:space="0" w:color="auto"/>
        <w:left w:val="none" w:sz="0" w:space="0" w:color="auto"/>
        <w:bottom w:val="none" w:sz="0" w:space="0" w:color="auto"/>
        <w:right w:val="none" w:sz="0" w:space="0" w:color="auto"/>
      </w:divBdr>
    </w:div>
    <w:div w:id="1695766054">
      <w:bodyDiv w:val="1"/>
      <w:marLeft w:val="0"/>
      <w:marRight w:val="0"/>
      <w:marTop w:val="0"/>
      <w:marBottom w:val="0"/>
      <w:divBdr>
        <w:top w:val="none" w:sz="0" w:space="0" w:color="auto"/>
        <w:left w:val="none" w:sz="0" w:space="0" w:color="auto"/>
        <w:bottom w:val="none" w:sz="0" w:space="0" w:color="auto"/>
        <w:right w:val="none" w:sz="0" w:space="0" w:color="auto"/>
      </w:divBdr>
    </w:div>
    <w:div w:id="1743793388">
      <w:bodyDiv w:val="1"/>
      <w:marLeft w:val="0"/>
      <w:marRight w:val="0"/>
      <w:marTop w:val="0"/>
      <w:marBottom w:val="0"/>
      <w:divBdr>
        <w:top w:val="none" w:sz="0" w:space="0" w:color="auto"/>
        <w:left w:val="none" w:sz="0" w:space="0" w:color="auto"/>
        <w:bottom w:val="none" w:sz="0" w:space="0" w:color="auto"/>
        <w:right w:val="none" w:sz="0" w:space="0" w:color="auto"/>
      </w:divBdr>
      <w:divsChild>
        <w:div w:id="1483347715">
          <w:marLeft w:val="806"/>
          <w:marRight w:val="0"/>
          <w:marTop w:val="120"/>
          <w:marBottom w:val="0"/>
          <w:divBdr>
            <w:top w:val="none" w:sz="0" w:space="0" w:color="auto"/>
            <w:left w:val="none" w:sz="0" w:space="0" w:color="auto"/>
            <w:bottom w:val="none" w:sz="0" w:space="0" w:color="auto"/>
            <w:right w:val="none" w:sz="0" w:space="0" w:color="auto"/>
          </w:divBdr>
        </w:div>
      </w:divsChild>
    </w:div>
    <w:div w:id="1928344509">
      <w:bodyDiv w:val="1"/>
      <w:marLeft w:val="0"/>
      <w:marRight w:val="0"/>
      <w:marTop w:val="0"/>
      <w:marBottom w:val="0"/>
      <w:divBdr>
        <w:top w:val="none" w:sz="0" w:space="0" w:color="auto"/>
        <w:left w:val="none" w:sz="0" w:space="0" w:color="auto"/>
        <w:bottom w:val="none" w:sz="0" w:space="0" w:color="auto"/>
        <w:right w:val="none" w:sz="0" w:space="0" w:color="auto"/>
      </w:divBdr>
    </w:div>
    <w:div w:id="2063017862">
      <w:bodyDiv w:val="1"/>
      <w:marLeft w:val="0"/>
      <w:marRight w:val="0"/>
      <w:marTop w:val="0"/>
      <w:marBottom w:val="0"/>
      <w:divBdr>
        <w:top w:val="none" w:sz="0" w:space="0" w:color="auto"/>
        <w:left w:val="none" w:sz="0" w:space="0" w:color="auto"/>
        <w:bottom w:val="none" w:sz="0" w:space="0" w:color="auto"/>
        <w:right w:val="none" w:sz="0" w:space="0" w:color="auto"/>
      </w:divBdr>
    </w:div>
    <w:div w:id="2074351431">
      <w:bodyDiv w:val="1"/>
      <w:marLeft w:val="0"/>
      <w:marRight w:val="0"/>
      <w:marTop w:val="0"/>
      <w:marBottom w:val="0"/>
      <w:divBdr>
        <w:top w:val="none" w:sz="0" w:space="0" w:color="auto"/>
        <w:left w:val="none" w:sz="0" w:space="0" w:color="auto"/>
        <w:bottom w:val="none" w:sz="0" w:space="0" w:color="auto"/>
        <w:right w:val="none" w:sz="0" w:space="0" w:color="auto"/>
      </w:divBdr>
    </w:div>
    <w:div w:id="2077437666">
      <w:bodyDiv w:val="1"/>
      <w:marLeft w:val="0"/>
      <w:marRight w:val="0"/>
      <w:marTop w:val="0"/>
      <w:marBottom w:val="0"/>
      <w:divBdr>
        <w:top w:val="none" w:sz="0" w:space="0" w:color="auto"/>
        <w:left w:val="none" w:sz="0" w:space="0" w:color="auto"/>
        <w:bottom w:val="none" w:sz="0" w:space="0" w:color="auto"/>
        <w:right w:val="none" w:sz="0" w:space="0" w:color="auto"/>
      </w:divBdr>
      <w:divsChild>
        <w:div w:id="287930282">
          <w:marLeft w:val="274"/>
          <w:marRight w:val="0"/>
          <w:marTop w:val="67"/>
          <w:marBottom w:val="0"/>
          <w:divBdr>
            <w:top w:val="none" w:sz="0" w:space="0" w:color="auto"/>
            <w:left w:val="none" w:sz="0" w:space="0" w:color="auto"/>
            <w:bottom w:val="none" w:sz="0" w:space="0" w:color="auto"/>
            <w:right w:val="none" w:sz="0" w:space="0" w:color="auto"/>
          </w:divBdr>
        </w:div>
        <w:div w:id="593175163">
          <w:marLeft w:val="274"/>
          <w:marRight w:val="0"/>
          <w:marTop w:val="67"/>
          <w:marBottom w:val="0"/>
          <w:divBdr>
            <w:top w:val="none" w:sz="0" w:space="0" w:color="auto"/>
            <w:left w:val="none" w:sz="0" w:space="0" w:color="auto"/>
            <w:bottom w:val="none" w:sz="0" w:space="0" w:color="auto"/>
            <w:right w:val="none" w:sz="0" w:space="0" w:color="auto"/>
          </w:divBdr>
        </w:div>
        <w:div w:id="881089740">
          <w:marLeft w:val="274"/>
          <w:marRight w:val="0"/>
          <w:marTop w:val="67"/>
          <w:marBottom w:val="0"/>
          <w:divBdr>
            <w:top w:val="none" w:sz="0" w:space="0" w:color="auto"/>
            <w:left w:val="none" w:sz="0" w:space="0" w:color="auto"/>
            <w:bottom w:val="none" w:sz="0" w:space="0" w:color="auto"/>
            <w:right w:val="none" w:sz="0" w:space="0" w:color="auto"/>
          </w:divBdr>
        </w:div>
        <w:div w:id="1041250261">
          <w:marLeft w:val="274"/>
          <w:marRight w:val="0"/>
          <w:marTop w:val="67"/>
          <w:marBottom w:val="0"/>
          <w:divBdr>
            <w:top w:val="none" w:sz="0" w:space="0" w:color="auto"/>
            <w:left w:val="none" w:sz="0" w:space="0" w:color="auto"/>
            <w:bottom w:val="none" w:sz="0" w:space="0" w:color="auto"/>
            <w:right w:val="none" w:sz="0" w:space="0" w:color="auto"/>
          </w:divBdr>
        </w:div>
        <w:div w:id="1049569056">
          <w:marLeft w:val="274"/>
          <w:marRight w:val="0"/>
          <w:marTop w:val="67"/>
          <w:marBottom w:val="0"/>
          <w:divBdr>
            <w:top w:val="none" w:sz="0" w:space="0" w:color="auto"/>
            <w:left w:val="none" w:sz="0" w:space="0" w:color="auto"/>
            <w:bottom w:val="none" w:sz="0" w:space="0" w:color="auto"/>
            <w:right w:val="none" w:sz="0" w:space="0" w:color="auto"/>
          </w:divBdr>
        </w:div>
        <w:div w:id="1586065449">
          <w:marLeft w:val="274"/>
          <w:marRight w:val="0"/>
          <w:marTop w:val="67"/>
          <w:marBottom w:val="0"/>
          <w:divBdr>
            <w:top w:val="none" w:sz="0" w:space="0" w:color="auto"/>
            <w:left w:val="none" w:sz="0" w:space="0" w:color="auto"/>
            <w:bottom w:val="none" w:sz="0" w:space="0" w:color="auto"/>
            <w:right w:val="none" w:sz="0" w:space="0" w:color="auto"/>
          </w:divBdr>
        </w:div>
        <w:div w:id="1749687475">
          <w:marLeft w:val="274"/>
          <w:marRight w:val="0"/>
          <w:marTop w:val="67"/>
          <w:marBottom w:val="0"/>
          <w:divBdr>
            <w:top w:val="none" w:sz="0" w:space="0" w:color="auto"/>
            <w:left w:val="none" w:sz="0" w:space="0" w:color="auto"/>
            <w:bottom w:val="none" w:sz="0" w:space="0" w:color="auto"/>
            <w:right w:val="none" w:sz="0" w:space="0" w:color="auto"/>
          </w:divBdr>
        </w:div>
        <w:div w:id="1784839105">
          <w:marLeft w:val="274"/>
          <w:marRight w:val="0"/>
          <w:marTop w:val="67"/>
          <w:marBottom w:val="0"/>
          <w:divBdr>
            <w:top w:val="none" w:sz="0" w:space="0" w:color="auto"/>
            <w:left w:val="none" w:sz="0" w:space="0" w:color="auto"/>
            <w:bottom w:val="none" w:sz="0" w:space="0" w:color="auto"/>
            <w:right w:val="none" w:sz="0" w:space="0" w:color="auto"/>
          </w:divBdr>
        </w:div>
        <w:div w:id="1801872731">
          <w:marLeft w:val="274"/>
          <w:marRight w:val="0"/>
          <w:marTop w:val="67"/>
          <w:marBottom w:val="0"/>
          <w:divBdr>
            <w:top w:val="none" w:sz="0" w:space="0" w:color="auto"/>
            <w:left w:val="none" w:sz="0" w:space="0" w:color="auto"/>
            <w:bottom w:val="none" w:sz="0" w:space="0" w:color="auto"/>
            <w:right w:val="none" w:sz="0" w:space="0" w:color="auto"/>
          </w:divBdr>
        </w:div>
        <w:div w:id="2098548839">
          <w:marLeft w:val="274"/>
          <w:marRight w:val="0"/>
          <w:marTop w:val="67"/>
          <w:marBottom w:val="0"/>
          <w:divBdr>
            <w:top w:val="none" w:sz="0" w:space="0" w:color="auto"/>
            <w:left w:val="none" w:sz="0" w:space="0" w:color="auto"/>
            <w:bottom w:val="none" w:sz="0" w:space="0" w:color="auto"/>
            <w:right w:val="none" w:sz="0" w:space="0" w:color="auto"/>
          </w:divBdr>
        </w:div>
      </w:divsChild>
    </w:div>
    <w:div w:id="2087260008">
      <w:bodyDiv w:val="1"/>
      <w:marLeft w:val="0"/>
      <w:marRight w:val="0"/>
      <w:marTop w:val="0"/>
      <w:marBottom w:val="0"/>
      <w:divBdr>
        <w:top w:val="none" w:sz="0" w:space="0" w:color="auto"/>
        <w:left w:val="none" w:sz="0" w:space="0" w:color="auto"/>
        <w:bottom w:val="none" w:sz="0" w:space="0" w:color="auto"/>
        <w:right w:val="none" w:sz="0" w:space="0" w:color="auto"/>
      </w:divBdr>
    </w:div>
    <w:div w:id="2103140941">
      <w:bodyDiv w:val="1"/>
      <w:marLeft w:val="0"/>
      <w:marRight w:val="0"/>
      <w:marTop w:val="0"/>
      <w:marBottom w:val="0"/>
      <w:divBdr>
        <w:top w:val="none" w:sz="0" w:space="0" w:color="auto"/>
        <w:left w:val="none" w:sz="0" w:space="0" w:color="auto"/>
        <w:bottom w:val="none" w:sz="0" w:space="0" w:color="auto"/>
        <w:right w:val="none" w:sz="0" w:space="0" w:color="auto"/>
      </w:divBdr>
      <w:divsChild>
        <w:div w:id="1363895146">
          <w:marLeft w:val="274"/>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C8D12-B054-4770-BF1B-E85FDF23E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99</TotalTime>
  <Pages>4</Pages>
  <Words>2074</Words>
  <Characters>10993</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13041</CharactersWithSpaces>
  <SharedDoc>false</SharedDoc>
  <HLinks>
    <vt:vector size="48" baseType="variant">
      <vt:variant>
        <vt:i4>1572921</vt:i4>
      </vt:variant>
      <vt:variant>
        <vt:i4>41</vt:i4>
      </vt:variant>
      <vt:variant>
        <vt:i4>0</vt:i4>
      </vt:variant>
      <vt:variant>
        <vt:i4>5</vt:i4>
      </vt:variant>
      <vt:variant>
        <vt:lpwstr/>
      </vt:variant>
      <vt:variant>
        <vt:lpwstr>_Toc447198321</vt:lpwstr>
      </vt:variant>
      <vt:variant>
        <vt:i4>1572921</vt:i4>
      </vt:variant>
      <vt:variant>
        <vt:i4>38</vt:i4>
      </vt:variant>
      <vt:variant>
        <vt:i4>0</vt:i4>
      </vt:variant>
      <vt:variant>
        <vt:i4>5</vt:i4>
      </vt:variant>
      <vt:variant>
        <vt:lpwstr/>
      </vt:variant>
      <vt:variant>
        <vt:lpwstr>_Toc447198320</vt:lpwstr>
      </vt:variant>
      <vt:variant>
        <vt:i4>1769529</vt:i4>
      </vt:variant>
      <vt:variant>
        <vt:i4>35</vt:i4>
      </vt:variant>
      <vt:variant>
        <vt:i4>0</vt:i4>
      </vt:variant>
      <vt:variant>
        <vt:i4>5</vt:i4>
      </vt:variant>
      <vt:variant>
        <vt:lpwstr/>
      </vt:variant>
      <vt:variant>
        <vt:lpwstr>_Toc447198319</vt:lpwstr>
      </vt:variant>
      <vt:variant>
        <vt:i4>1769529</vt:i4>
      </vt:variant>
      <vt:variant>
        <vt:i4>32</vt:i4>
      </vt:variant>
      <vt:variant>
        <vt:i4>0</vt:i4>
      </vt:variant>
      <vt:variant>
        <vt:i4>5</vt:i4>
      </vt:variant>
      <vt:variant>
        <vt:lpwstr/>
      </vt:variant>
      <vt:variant>
        <vt:lpwstr>_Toc447198318</vt:lpwstr>
      </vt:variant>
      <vt:variant>
        <vt:i4>1769529</vt:i4>
      </vt:variant>
      <vt:variant>
        <vt:i4>29</vt:i4>
      </vt:variant>
      <vt:variant>
        <vt:i4>0</vt:i4>
      </vt:variant>
      <vt:variant>
        <vt:i4>5</vt:i4>
      </vt:variant>
      <vt:variant>
        <vt:lpwstr/>
      </vt:variant>
      <vt:variant>
        <vt:lpwstr>_Toc447198317</vt:lpwstr>
      </vt:variant>
      <vt:variant>
        <vt:i4>1769529</vt:i4>
      </vt:variant>
      <vt:variant>
        <vt:i4>26</vt:i4>
      </vt:variant>
      <vt:variant>
        <vt:i4>0</vt:i4>
      </vt:variant>
      <vt:variant>
        <vt:i4>5</vt:i4>
      </vt:variant>
      <vt:variant>
        <vt:lpwstr/>
      </vt:variant>
      <vt:variant>
        <vt:lpwstr>_Toc447198316</vt:lpwstr>
      </vt:variant>
      <vt:variant>
        <vt:i4>1769529</vt:i4>
      </vt:variant>
      <vt:variant>
        <vt:i4>23</vt:i4>
      </vt:variant>
      <vt:variant>
        <vt:i4>0</vt:i4>
      </vt:variant>
      <vt:variant>
        <vt:i4>5</vt:i4>
      </vt:variant>
      <vt:variant>
        <vt:lpwstr/>
      </vt:variant>
      <vt:variant>
        <vt:lpwstr>_Toc447198315</vt:lpwstr>
      </vt:variant>
      <vt:variant>
        <vt:i4>1769529</vt:i4>
      </vt:variant>
      <vt:variant>
        <vt:i4>20</vt:i4>
      </vt:variant>
      <vt:variant>
        <vt:i4>0</vt:i4>
      </vt:variant>
      <vt:variant>
        <vt:i4>5</vt:i4>
      </vt:variant>
      <vt:variant>
        <vt:lpwstr/>
      </vt:variant>
      <vt:variant>
        <vt:lpwstr>_Toc447198314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Yutao Sui</cp:lastModifiedBy>
  <cp:revision>15</cp:revision>
  <cp:lastPrinted>2008-01-31T07:09:00Z</cp:lastPrinted>
  <dcterms:created xsi:type="dcterms:W3CDTF">2016-08-10T06:12:00Z</dcterms:created>
  <dcterms:modified xsi:type="dcterms:W3CDTF">2016-08-13T01:54:00Z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